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4DBA" w14:textId="77777777" w:rsidR="00B84120" w:rsidRDefault="00B84120" w:rsidP="00B84120">
      <w:pPr>
        <w:pStyle w:val="Sinespaciado"/>
        <w:jc w:val="center"/>
        <w:rPr>
          <w:sz w:val="28"/>
          <w:szCs w:val="28"/>
        </w:rPr>
      </w:pPr>
    </w:p>
    <w:p w14:paraId="17CBE913" w14:textId="77777777" w:rsidR="00B84120" w:rsidRDefault="00B84120" w:rsidP="00B84120">
      <w:pPr>
        <w:pStyle w:val="Sinespaciado"/>
        <w:jc w:val="center"/>
        <w:rPr>
          <w:sz w:val="28"/>
          <w:szCs w:val="28"/>
        </w:rPr>
      </w:pPr>
    </w:p>
    <w:p w14:paraId="431436D1" w14:textId="01F7BAF5" w:rsidR="00B84120" w:rsidRPr="00B84120" w:rsidRDefault="00B84120" w:rsidP="00B84120">
      <w:pPr>
        <w:pStyle w:val="Sinespaciado"/>
        <w:jc w:val="center"/>
        <w:rPr>
          <w:b/>
          <w:bCs/>
          <w:sz w:val="28"/>
          <w:szCs w:val="28"/>
        </w:rPr>
      </w:pPr>
      <w:r w:rsidRPr="00B84120">
        <w:rPr>
          <w:b/>
          <w:bCs/>
          <w:sz w:val="28"/>
          <w:szCs w:val="28"/>
        </w:rPr>
        <w:t>Subdirección de Diseño, Evaluación y Sistematización</w:t>
      </w:r>
    </w:p>
    <w:p w14:paraId="77A6D6AA" w14:textId="0F036C21" w:rsidR="0071717C" w:rsidRPr="00966175" w:rsidRDefault="00705314" w:rsidP="00705314">
      <w:pPr>
        <w:pStyle w:val="Sinespaciado"/>
        <w:jc w:val="center"/>
        <w:rPr>
          <w:sz w:val="28"/>
          <w:szCs w:val="28"/>
        </w:rPr>
      </w:pPr>
      <w:r>
        <w:rPr>
          <w:sz w:val="28"/>
          <w:szCs w:val="28"/>
        </w:rPr>
        <w:t>Equipo SG-MIPG</w:t>
      </w:r>
    </w:p>
    <w:p w14:paraId="23A8C4A0" w14:textId="1157E6C9" w:rsidR="003D42E4" w:rsidRDefault="003D42E4" w:rsidP="00966175">
      <w:pPr>
        <w:pStyle w:val="Sinespaciado"/>
        <w:rPr>
          <w:sz w:val="28"/>
          <w:szCs w:val="28"/>
        </w:rPr>
      </w:pPr>
    </w:p>
    <w:p w14:paraId="743D7AB8" w14:textId="7599CC8B" w:rsidR="00705314" w:rsidRDefault="00705314" w:rsidP="00966175">
      <w:pPr>
        <w:pStyle w:val="Sinespaciado"/>
        <w:rPr>
          <w:sz w:val="28"/>
          <w:szCs w:val="28"/>
        </w:rPr>
      </w:pPr>
    </w:p>
    <w:p w14:paraId="2848D953" w14:textId="067DA3C2" w:rsidR="00705314" w:rsidRDefault="004A722B" w:rsidP="004A722B">
      <w:pPr>
        <w:pStyle w:val="Sinespaciado"/>
        <w:jc w:val="center"/>
        <w:rPr>
          <w:sz w:val="28"/>
          <w:szCs w:val="28"/>
        </w:rPr>
      </w:pPr>
      <w:r>
        <w:rPr>
          <w:noProof/>
          <w:lang w:eastAsia="es-CO"/>
        </w:rPr>
        <w:drawing>
          <wp:inline distT="0" distB="0" distL="0" distR="0" wp14:anchorId="1D0002E0" wp14:editId="247B0419">
            <wp:extent cx="3612445" cy="2189362"/>
            <wp:effectExtent l="0" t="0" r="7620" b="1905"/>
            <wp:docPr id="16" name="Imagen 16" descr="Sistema de Gestión M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de Gestión MI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6753" t="10462" r="19422" b="8337"/>
                    <a:stretch/>
                  </pic:blipFill>
                  <pic:spPr bwMode="auto">
                    <a:xfrm>
                      <a:off x="0" y="0"/>
                      <a:ext cx="3670035" cy="2224265"/>
                    </a:xfrm>
                    <a:prstGeom prst="rect">
                      <a:avLst/>
                    </a:prstGeom>
                    <a:noFill/>
                    <a:ln>
                      <a:noFill/>
                    </a:ln>
                    <a:extLst>
                      <a:ext uri="{53640926-AAD7-44D8-BBD7-CCE9431645EC}">
                        <a14:shadowObscured xmlns:a14="http://schemas.microsoft.com/office/drawing/2010/main"/>
                      </a:ext>
                    </a:extLst>
                  </pic:spPr>
                </pic:pic>
              </a:graphicData>
            </a:graphic>
          </wp:inline>
        </w:drawing>
      </w:r>
    </w:p>
    <w:p w14:paraId="56ABFFF8" w14:textId="0261EF8F" w:rsidR="00705314" w:rsidRPr="00966175" w:rsidRDefault="00705314" w:rsidP="00966175">
      <w:pPr>
        <w:pStyle w:val="Sinespaciado"/>
        <w:rPr>
          <w:sz w:val="28"/>
          <w:szCs w:val="28"/>
        </w:rPr>
      </w:pPr>
    </w:p>
    <w:p w14:paraId="2DBD8BE9" w14:textId="6B73B8DA" w:rsidR="00966175" w:rsidRPr="00966175" w:rsidRDefault="006C2F07" w:rsidP="002003B8">
      <w:pPr>
        <w:pStyle w:val="Sinespaciado"/>
        <w:jc w:val="center"/>
        <w:rPr>
          <w:b/>
          <w:bCs/>
          <w:sz w:val="28"/>
          <w:szCs w:val="28"/>
        </w:rPr>
      </w:pPr>
      <w:r w:rsidRPr="00966175">
        <w:rPr>
          <w:b/>
          <w:bCs/>
          <w:sz w:val="28"/>
          <w:szCs w:val="28"/>
        </w:rPr>
        <w:t>PROGRAMA</w:t>
      </w:r>
    </w:p>
    <w:p w14:paraId="422598C5" w14:textId="698851F8" w:rsidR="0071717C" w:rsidRPr="00966175" w:rsidRDefault="006C2F07" w:rsidP="00966175">
      <w:pPr>
        <w:pStyle w:val="Sinespaciado"/>
        <w:jc w:val="center"/>
        <w:rPr>
          <w:b/>
          <w:bCs/>
          <w:sz w:val="28"/>
          <w:szCs w:val="28"/>
        </w:rPr>
      </w:pPr>
      <w:r w:rsidRPr="00966175">
        <w:rPr>
          <w:b/>
          <w:bCs/>
          <w:sz w:val="28"/>
          <w:szCs w:val="28"/>
        </w:rPr>
        <w:t>IMPLEMENTACIÓN Y SOSTENIBILIDAD DEL SISTEMA DE GESTIÓN DE LA SECRETARÍA DISTRITAL DE INTEGRACIÓN SOCIAL</w:t>
      </w:r>
    </w:p>
    <w:p w14:paraId="0AF2E839" w14:textId="2A6E7B0F" w:rsidR="006C2F07" w:rsidRPr="00966175" w:rsidRDefault="002003B8" w:rsidP="002003B8">
      <w:pPr>
        <w:pStyle w:val="Sinespaciado"/>
        <w:jc w:val="center"/>
        <w:rPr>
          <w:sz w:val="28"/>
          <w:szCs w:val="28"/>
        </w:rPr>
      </w:pPr>
      <w:r w:rsidRPr="002003B8">
        <w:rPr>
          <w:b/>
          <w:bCs/>
          <w:sz w:val="28"/>
          <w:szCs w:val="28"/>
        </w:rPr>
        <w:t>2020 -2024</w:t>
      </w:r>
    </w:p>
    <w:p w14:paraId="214FB01B" w14:textId="0923D042" w:rsidR="006C2F07" w:rsidRPr="00966175" w:rsidRDefault="006C2F07" w:rsidP="00966175">
      <w:pPr>
        <w:pStyle w:val="Sinespaciado"/>
        <w:rPr>
          <w:sz w:val="28"/>
          <w:szCs w:val="28"/>
        </w:rPr>
      </w:pPr>
    </w:p>
    <w:p w14:paraId="3DF91C4A" w14:textId="18BF1216" w:rsidR="006C2F07" w:rsidRPr="00966175" w:rsidRDefault="006C2F07" w:rsidP="00966175">
      <w:pPr>
        <w:pStyle w:val="Sinespaciado"/>
        <w:rPr>
          <w:sz w:val="28"/>
          <w:szCs w:val="28"/>
        </w:rPr>
      </w:pPr>
    </w:p>
    <w:p w14:paraId="7525893D" w14:textId="3C0EF2A7" w:rsidR="006C2F07" w:rsidRPr="00966175" w:rsidRDefault="006C2F07" w:rsidP="00966175">
      <w:pPr>
        <w:pStyle w:val="Sinespaciado"/>
        <w:rPr>
          <w:sz w:val="28"/>
          <w:szCs w:val="28"/>
        </w:rPr>
      </w:pPr>
    </w:p>
    <w:p w14:paraId="247FD67F" w14:textId="57549A35" w:rsidR="006C2F07" w:rsidRPr="00966175" w:rsidRDefault="006C2F07" w:rsidP="00966175">
      <w:pPr>
        <w:pStyle w:val="Sinespaciado"/>
        <w:rPr>
          <w:sz w:val="28"/>
          <w:szCs w:val="28"/>
        </w:rPr>
      </w:pPr>
    </w:p>
    <w:p w14:paraId="63ACB573" w14:textId="73B9E094" w:rsidR="006C2F07" w:rsidRPr="00966175" w:rsidRDefault="006C2F07" w:rsidP="00966175">
      <w:pPr>
        <w:pStyle w:val="Sinespaciado"/>
        <w:rPr>
          <w:sz w:val="28"/>
          <w:szCs w:val="28"/>
        </w:rPr>
      </w:pPr>
    </w:p>
    <w:p w14:paraId="3CE98BDF" w14:textId="66A7B876" w:rsidR="006C2F07" w:rsidRPr="00966175" w:rsidRDefault="006C2F07" w:rsidP="00966175">
      <w:pPr>
        <w:pStyle w:val="Sinespaciado"/>
        <w:rPr>
          <w:sz w:val="28"/>
          <w:szCs w:val="28"/>
        </w:rPr>
      </w:pPr>
    </w:p>
    <w:p w14:paraId="0A96FF5C" w14:textId="6FF26E5E" w:rsidR="006C2F07" w:rsidRDefault="006C2F07" w:rsidP="00966175">
      <w:pPr>
        <w:pStyle w:val="Sinespaciado"/>
        <w:rPr>
          <w:sz w:val="28"/>
          <w:szCs w:val="28"/>
        </w:rPr>
      </w:pPr>
    </w:p>
    <w:p w14:paraId="19C5D5DB" w14:textId="77777777" w:rsidR="00B028D7" w:rsidRDefault="00B028D7" w:rsidP="008D5E00">
      <w:pPr>
        <w:pStyle w:val="Sinespaciado"/>
        <w:rPr>
          <w:sz w:val="28"/>
          <w:szCs w:val="28"/>
        </w:rPr>
      </w:pPr>
    </w:p>
    <w:p w14:paraId="6B18B17B" w14:textId="77777777" w:rsidR="00F60229" w:rsidRDefault="00F60229">
      <w:pPr>
        <w:spacing w:after="0" w:line="240" w:lineRule="auto"/>
        <w:rPr>
          <w:b/>
          <w:bCs/>
          <w:sz w:val="28"/>
          <w:szCs w:val="28"/>
        </w:rPr>
      </w:pPr>
      <w:r>
        <w:rPr>
          <w:b/>
          <w:bCs/>
          <w:sz w:val="28"/>
          <w:szCs w:val="28"/>
        </w:rPr>
        <w:br w:type="page"/>
      </w:r>
    </w:p>
    <w:p w14:paraId="2930FD51" w14:textId="5DA64B66" w:rsidR="0020665E" w:rsidRPr="00283D5A" w:rsidRDefault="00323CD7" w:rsidP="00323CD7">
      <w:pPr>
        <w:pStyle w:val="Sinespaciado"/>
        <w:jc w:val="center"/>
        <w:rPr>
          <w:b/>
          <w:bCs/>
        </w:rPr>
      </w:pPr>
      <w:r w:rsidRPr="00283D5A">
        <w:rPr>
          <w:rFonts w:ascii="Arial" w:hAnsi="Arial" w:cs="Arial"/>
          <w:b/>
          <w:bCs/>
        </w:rPr>
        <w:lastRenderedPageBreak/>
        <w:t>CONTENIDO</w:t>
      </w:r>
    </w:p>
    <w:p w14:paraId="7A6C846C" w14:textId="302128C2" w:rsidR="00F56B6B" w:rsidRPr="00E7223B" w:rsidRDefault="00F56B6B" w:rsidP="00F56B6B">
      <w:pPr>
        <w:pStyle w:val="Sinespaciado"/>
        <w:rPr>
          <w:sz w:val="24"/>
          <w:szCs w:val="24"/>
        </w:rPr>
      </w:pPr>
    </w:p>
    <w:p w14:paraId="7C507514" w14:textId="36ADDC92" w:rsidR="00F56B6B" w:rsidRPr="00283D5A" w:rsidRDefault="00F56B6B" w:rsidP="00F56B6B">
      <w:pPr>
        <w:pStyle w:val="Sinespaciado"/>
        <w:rPr>
          <w:rFonts w:ascii="Arial" w:hAnsi="Arial" w:cs="Arial"/>
          <w:b/>
          <w:bCs/>
        </w:rPr>
      </w:pPr>
      <w:r w:rsidRPr="00283D5A">
        <w:rPr>
          <w:rFonts w:ascii="Arial" w:hAnsi="Arial" w:cs="Arial"/>
          <w:b/>
          <w:bCs/>
        </w:rPr>
        <w:t>Introducción</w:t>
      </w:r>
    </w:p>
    <w:p w14:paraId="58A65617" w14:textId="77777777" w:rsidR="00AA13E5" w:rsidRPr="00283D5A" w:rsidRDefault="00AA13E5" w:rsidP="00F56B6B">
      <w:pPr>
        <w:pStyle w:val="Sinespaciado"/>
        <w:rPr>
          <w:rFonts w:ascii="Arial" w:hAnsi="Arial" w:cs="Arial"/>
          <w:b/>
          <w:bCs/>
        </w:rPr>
      </w:pPr>
    </w:p>
    <w:p w14:paraId="2FF112A2" w14:textId="271C5343" w:rsidR="00F56B6B" w:rsidRPr="00283D5A" w:rsidRDefault="00D70BE8" w:rsidP="003A3A25">
      <w:pPr>
        <w:pStyle w:val="Sinespaciado"/>
        <w:numPr>
          <w:ilvl w:val="0"/>
          <w:numId w:val="13"/>
        </w:numPr>
        <w:ind w:left="426" w:hanging="426"/>
        <w:rPr>
          <w:rFonts w:ascii="Arial" w:hAnsi="Arial" w:cs="Arial"/>
        </w:rPr>
      </w:pPr>
      <w:r w:rsidRPr="00283D5A">
        <w:rPr>
          <w:rFonts w:ascii="Arial" w:hAnsi="Arial" w:cs="Arial"/>
          <w:b/>
          <w:bCs/>
        </w:rPr>
        <w:t>Justificación</w:t>
      </w:r>
    </w:p>
    <w:p w14:paraId="71700304" w14:textId="77777777" w:rsidR="00AA13E5" w:rsidRPr="00283D5A" w:rsidRDefault="00AA13E5" w:rsidP="00AA13E5">
      <w:pPr>
        <w:pStyle w:val="Sinespaciado"/>
        <w:ind w:left="426"/>
        <w:rPr>
          <w:rFonts w:ascii="Arial" w:hAnsi="Arial" w:cs="Arial"/>
        </w:rPr>
      </w:pPr>
    </w:p>
    <w:p w14:paraId="40BCFDD1" w14:textId="2836CD39" w:rsidR="009A166F" w:rsidRDefault="00637258" w:rsidP="003A3A25">
      <w:pPr>
        <w:pStyle w:val="Sinespaciado"/>
        <w:numPr>
          <w:ilvl w:val="0"/>
          <w:numId w:val="13"/>
        </w:numPr>
        <w:ind w:left="426" w:hanging="426"/>
        <w:rPr>
          <w:rFonts w:ascii="Arial" w:hAnsi="Arial" w:cs="Arial"/>
          <w:b/>
          <w:bCs/>
        </w:rPr>
      </w:pPr>
      <w:r>
        <w:rPr>
          <w:rFonts w:ascii="Arial" w:hAnsi="Arial" w:cs="Arial"/>
          <w:b/>
          <w:bCs/>
        </w:rPr>
        <w:t>Descripción</w:t>
      </w:r>
      <w:r w:rsidRPr="00283D5A">
        <w:rPr>
          <w:rFonts w:ascii="Arial" w:hAnsi="Arial" w:cs="Arial"/>
          <w:b/>
          <w:bCs/>
        </w:rPr>
        <w:t xml:space="preserve"> </w:t>
      </w:r>
      <w:r w:rsidR="009A166F" w:rsidRPr="00283D5A">
        <w:rPr>
          <w:rFonts w:ascii="Arial" w:hAnsi="Arial" w:cs="Arial"/>
          <w:b/>
          <w:bCs/>
        </w:rPr>
        <w:t xml:space="preserve">del </w:t>
      </w:r>
      <w:r>
        <w:rPr>
          <w:rFonts w:ascii="Arial" w:hAnsi="Arial" w:cs="Arial"/>
          <w:b/>
          <w:bCs/>
        </w:rPr>
        <w:t>P</w:t>
      </w:r>
      <w:r w:rsidR="009A166F" w:rsidRPr="00283D5A">
        <w:rPr>
          <w:rFonts w:ascii="Arial" w:hAnsi="Arial" w:cs="Arial"/>
          <w:b/>
          <w:bCs/>
        </w:rPr>
        <w:t>rograma</w:t>
      </w:r>
      <w:r>
        <w:rPr>
          <w:rFonts w:ascii="Arial" w:hAnsi="Arial" w:cs="Arial"/>
          <w:b/>
          <w:bCs/>
        </w:rPr>
        <w:t xml:space="preserve"> de</w:t>
      </w:r>
      <w:r w:rsidR="009A166F" w:rsidRPr="00283D5A">
        <w:rPr>
          <w:rFonts w:ascii="Arial" w:hAnsi="Arial" w:cs="Arial"/>
          <w:b/>
          <w:bCs/>
        </w:rPr>
        <w:t xml:space="preserve"> implementación y sostenibilidad del </w:t>
      </w:r>
      <w:r w:rsidR="00615372" w:rsidRPr="00283D5A">
        <w:rPr>
          <w:rFonts w:ascii="Arial" w:hAnsi="Arial" w:cs="Arial"/>
          <w:b/>
          <w:bCs/>
        </w:rPr>
        <w:t>S</w:t>
      </w:r>
      <w:r w:rsidR="009A166F" w:rsidRPr="00283D5A">
        <w:rPr>
          <w:rFonts w:ascii="Arial" w:hAnsi="Arial" w:cs="Arial"/>
          <w:b/>
          <w:bCs/>
        </w:rPr>
        <w:t xml:space="preserve">istema de </w:t>
      </w:r>
      <w:r w:rsidR="00615372" w:rsidRPr="00283D5A">
        <w:rPr>
          <w:rFonts w:ascii="Arial" w:hAnsi="Arial" w:cs="Arial"/>
          <w:b/>
          <w:bCs/>
        </w:rPr>
        <w:t>G</w:t>
      </w:r>
      <w:r w:rsidR="009A166F" w:rsidRPr="00283D5A">
        <w:rPr>
          <w:rFonts w:ascii="Arial" w:hAnsi="Arial" w:cs="Arial"/>
          <w:b/>
          <w:bCs/>
        </w:rPr>
        <w:t>estión</w:t>
      </w:r>
      <w:r w:rsidR="00615372" w:rsidRPr="00283D5A">
        <w:rPr>
          <w:rFonts w:ascii="Arial" w:hAnsi="Arial" w:cs="Arial"/>
          <w:b/>
          <w:bCs/>
        </w:rPr>
        <w:t xml:space="preserve"> SDIS</w:t>
      </w:r>
    </w:p>
    <w:p w14:paraId="2C2938AC" w14:textId="77777777" w:rsidR="00CD2136" w:rsidRPr="00283D5A" w:rsidRDefault="00CD2136" w:rsidP="00CD2136">
      <w:pPr>
        <w:pStyle w:val="Sinespaciado"/>
        <w:rPr>
          <w:rFonts w:ascii="Arial" w:hAnsi="Arial" w:cs="Arial"/>
          <w:b/>
          <w:bCs/>
        </w:rPr>
      </w:pPr>
    </w:p>
    <w:p w14:paraId="154C20E8" w14:textId="77777777" w:rsidR="00B52B55" w:rsidRDefault="009A166F" w:rsidP="00CD2136">
      <w:pPr>
        <w:pStyle w:val="Sinespaciado"/>
        <w:numPr>
          <w:ilvl w:val="1"/>
          <w:numId w:val="13"/>
        </w:numPr>
        <w:spacing w:after="120"/>
        <w:ind w:left="851" w:hanging="425"/>
        <w:rPr>
          <w:rFonts w:ascii="Arial" w:hAnsi="Arial" w:cs="Arial"/>
        </w:rPr>
      </w:pPr>
      <w:r w:rsidRPr="00283D5A">
        <w:rPr>
          <w:rFonts w:ascii="Arial" w:hAnsi="Arial" w:cs="Arial"/>
        </w:rPr>
        <w:t>Antecedente</w:t>
      </w:r>
      <w:r w:rsidR="00197986" w:rsidRPr="00283D5A">
        <w:rPr>
          <w:rFonts w:ascii="Arial" w:hAnsi="Arial" w:cs="Arial"/>
        </w:rPr>
        <w:t>s</w:t>
      </w:r>
    </w:p>
    <w:p w14:paraId="7D04504C" w14:textId="46B5DEFD" w:rsidR="00B52B55" w:rsidRPr="00B52B55" w:rsidRDefault="009A166F" w:rsidP="00CD2136">
      <w:pPr>
        <w:pStyle w:val="Sinespaciado"/>
        <w:numPr>
          <w:ilvl w:val="1"/>
          <w:numId w:val="13"/>
        </w:numPr>
        <w:spacing w:after="120"/>
        <w:ind w:left="851" w:hanging="425"/>
        <w:rPr>
          <w:rFonts w:ascii="Arial" w:hAnsi="Arial" w:cs="Arial"/>
        </w:rPr>
      </w:pPr>
      <w:r w:rsidRPr="00B52B55">
        <w:rPr>
          <w:rFonts w:ascii="Arial" w:hAnsi="Arial" w:cs="Arial"/>
        </w:rPr>
        <w:t>Objetivo</w:t>
      </w:r>
      <w:r w:rsidR="00B52B55" w:rsidRPr="00B52B55">
        <w:rPr>
          <w:rFonts w:ascii="Arial" w:hAnsi="Arial" w:cs="Arial"/>
        </w:rPr>
        <w:t xml:space="preserve"> del Programa de </w:t>
      </w:r>
      <w:r w:rsidR="00637258">
        <w:rPr>
          <w:rFonts w:ascii="Arial" w:hAnsi="Arial" w:cs="Arial"/>
        </w:rPr>
        <w:t>i</w:t>
      </w:r>
      <w:r w:rsidR="00B52B55" w:rsidRPr="00B52B55">
        <w:rPr>
          <w:rFonts w:ascii="Arial" w:hAnsi="Arial" w:cs="Arial"/>
        </w:rPr>
        <w:t xml:space="preserve">mplementación y </w:t>
      </w:r>
      <w:r w:rsidR="00637258">
        <w:rPr>
          <w:rFonts w:ascii="Arial" w:hAnsi="Arial" w:cs="Arial"/>
        </w:rPr>
        <w:t>s</w:t>
      </w:r>
      <w:r w:rsidR="00B52B55" w:rsidRPr="00B52B55">
        <w:rPr>
          <w:rFonts w:ascii="Arial" w:hAnsi="Arial" w:cs="Arial"/>
        </w:rPr>
        <w:t>ostenibilidad del Sistema de Gestión</w:t>
      </w:r>
    </w:p>
    <w:p w14:paraId="633F7E54" w14:textId="0F21E5E9" w:rsidR="009A166F" w:rsidRPr="00B52B55" w:rsidRDefault="00971F80" w:rsidP="00CD2136">
      <w:pPr>
        <w:pStyle w:val="Sinespaciado"/>
        <w:numPr>
          <w:ilvl w:val="1"/>
          <w:numId w:val="13"/>
        </w:numPr>
        <w:spacing w:after="120"/>
        <w:ind w:left="851" w:hanging="425"/>
        <w:jc w:val="both"/>
        <w:rPr>
          <w:rFonts w:ascii="Arial" w:hAnsi="Arial" w:cs="Arial"/>
        </w:rPr>
      </w:pPr>
      <w:r w:rsidRPr="00B52B55">
        <w:rPr>
          <w:rFonts w:ascii="Arial" w:hAnsi="Arial" w:cs="Arial"/>
        </w:rPr>
        <w:t xml:space="preserve"> </w:t>
      </w:r>
      <w:r w:rsidR="009A166F" w:rsidRPr="00B52B55">
        <w:rPr>
          <w:rFonts w:ascii="Arial" w:hAnsi="Arial" w:cs="Arial"/>
        </w:rPr>
        <w:t>Alcance</w:t>
      </w:r>
    </w:p>
    <w:p w14:paraId="2AAD9260" w14:textId="0FCDDCC8" w:rsidR="00B52B55" w:rsidRPr="00B52B55" w:rsidRDefault="00197986" w:rsidP="00CD2136">
      <w:pPr>
        <w:pStyle w:val="Sinespaciado"/>
        <w:numPr>
          <w:ilvl w:val="1"/>
          <w:numId w:val="13"/>
        </w:numPr>
        <w:spacing w:after="120"/>
        <w:ind w:left="851" w:hanging="425"/>
        <w:rPr>
          <w:rFonts w:ascii="Arial" w:hAnsi="Arial" w:cs="Arial"/>
        </w:rPr>
      </w:pPr>
      <w:r w:rsidRPr="00283D5A">
        <w:rPr>
          <w:rFonts w:ascii="Arial" w:hAnsi="Arial" w:cs="Arial"/>
        </w:rPr>
        <w:t>Plan de acción del programa</w:t>
      </w:r>
      <w:r w:rsidR="00B52B55" w:rsidRPr="00B52B55">
        <w:rPr>
          <w:rFonts w:ascii="Arial" w:hAnsi="Arial" w:cs="Arial"/>
        </w:rPr>
        <w:t xml:space="preserve"> de Implementación y Sostenibilidad del Sistema de Gestión</w:t>
      </w:r>
    </w:p>
    <w:p w14:paraId="7D98A9ED" w14:textId="134C9CD7" w:rsidR="009A166F" w:rsidRPr="00FB1A1D" w:rsidRDefault="009A166F" w:rsidP="00CD2136">
      <w:pPr>
        <w:pStyle w:val="Sinespaciado"/>
        <w:spacing w:after="120"/>
        <w:ind w:left="851"/>
        <w:rPr>
          <w:rFonts w:ascii="Arial" w:hAnsi="Arial" w:cs="Arial"/>
        </w:rPr>
      </w:pPr>
      <w:r w:rsidRPr="00FB1A1D">
        <w:rPr>
          <w:rFonts w:ascii="Arial" w:hAnsi="Arial" w:cs="Arial"/>
        </w:rPr>
        <w:t>2.4.1</w:t>
      </w:r>
      <w:r w:rsidRPr="00FB1A1D">
        <w:rPr>
          <w:rFonts w:ascii="Arial" w:hAnsi="Arial" w:cs="Arial"/>
        </w:rPr>
        <w:tab/>
      </w:r>
      <w:r w:rsidR="003C4CBE" w:rsidRPr="00FB1A1D">
        <w:rPr>
          <w:rFonts w:ascii="Arial" w:hAnsi="Arial" w:cs="Arial"/>
        </w:rPr>
        <w:t xml:space="preserve">Componente: </w:t>
      </w:r>
      <w:r w:rsidRPr="00FB1A1D">
        <w:rPr>
          <w:rFonts w:ascii="Arial" w:hAnsi="Arial" w:cs="Arial"/>
        </w:rPr>
        <w:t>Instancias de la institucionalidad</w:t>
      </w:r>
    </w:p>
    <w:p w14:paraId="6C6BE21C" w14:textId="647433E4" w:rsidR="009A166F" w:rsidRPr="00FB1A1D" w:rsidRDefault="009A166F" w:rsidP="00CD2136">
      <w:pPr>
        <w:pStyle w:val="Sinespaciado"/>
        <w:spacing w:after="120"/>
        <w:ind w:left="851"/>
        <w:rPr>
          <w:rFonts w:ascii="Arial" w:hAnsi="Arial" w:cs="Arial"/>
        </w:rPr>
      </w:pPr>
      <w:r w:rsidRPr="00FB1A1D">
        <w:rPr>
          <w:rFonts w:ascii="Arial" w:hAnsi="Arial" w:cs="Arial"/>
        </w:rPr>
        <w:t>2.4.1.1 Comité Sectorial (Sector de Integración Social)</w:t>
      </w:r>
    </w:p>
    <w:p w14:paraId="58F79F13" w14:textId="0DA0F6CF" w:rsidR="009A166F" w:rsidRPr="00FB1A1D" w:rsidRDefault="009A166F" w:rsidP="00CD2136">
      <w:pPr>
        <w:pStyle w:val="Sinespaciado"/>
        <w:spacing w:after="120"/>
        <w:ind w:left="851"/>
        <w:rPr>
          <w:rFonts w:ascii="Arial" w:hAnsi="Arial" w:cs="Arial"/>
        </w:rPr>
      </w:pPr>
      <w:r w:rsidRPr="00FB1A1D">
        <w:rPr>
          <w:rFonts w:ascii="Arial" w:hAnsi="Arial" w:cs="Arial"/>
        </w:rPr>
        <w:t>2.4.1.2 Comité Institucional de Gestión y Desempeño</w:t>
      </w:r>
    </w:p>
    <w:p w14:paraId="1ED3CC2A" w14:textId="1573B60A" w:rsidR="009A166F" w:rsidRPr="00FB1A1D" w:rsidRDefault="009A166F" w:rsidP="00CD2136">
      <w:pPr>
        <w:pStyle w:val="Sinespaciado"/>
        <w:spacing w:after="120"/>
        <w:ind w:left="851"/>
        <w:rPr>
          <w:rFonts w:ascii="Arial" w:hAnsi="Arial" w:cs="Arial"/>
        </w:rPr>
      </w:pPr>
      <w:r w:rsidRPr="00FB1A1D">
        <w:rPr>
          <w:rFonts w:ascii="Arial" w:hAnsi="Arial" w:cs="Arial"/>
        </w:rPr>
        <w:t>2.4.1.3 Comité de Gestores del Sistema de Gestión</w:t>
      </w:r>
    </w:p>
    <w:p w14:paraId="69409C18" w14:textId="127F24D1" w:rsidR="009A166F" w:rsidRPr="00FB1A1D" w:rsidRDefault="009A166F" w:rsidP="00CD2136">
      <w:pPr>
        <w:pStyle w:val="Sinespaciado"/>
        <w:spacing w:after="120"/>
        <w:ind w:left="851"/>
        <w:rPr>
          <w:rFonts w:ascii="Arial" w:hAnsi="Arial" w:cs="Arial"/>
        </w:rPr>
      </w:pPr>
      <w:r w:rsidRPr="00FB1A1D">
        <w:rPr>
          <w:rFonts w:ascii="Arial" w:hAnsi="Arial" w:cs="Arial"/>
        </w:rPr>
        <w:t>2.4.2</w:t>
      </w:r>
      <w:r w:rsidRPr="00FB1A1D">
        <w:rPr>
          <w:rFonts w:ascii="Arial" w:hAnsi="Arial" w:cs="Arial"/>
        </w:rPr>
        <w:tab/>
      </w:r>
      <w:r w:rsidR="003C4CBE" w:rsidRPr="00FB1A1D">
        <w:rPr>
          <w:rFonts w:ascii="Arial" w:hAnsi="Arial" w:cs="Arial"/>
        </w:rPr>
        <w:t xml:space="preserve">Componente: </w:t>
      </w:r>
      <w:r w:rsidR="00197986" w:rsidRPr="00FB1A1D">
        <w:rPr>
          <w:rFonts w:ascii="Arial" w:hAnsi="Arial" w:cs="Arial"/>
        </w:rPr>
        <w:t>Enfoque basado en procesos</w:t>
      </w:r>
    </w:p>
    <w:p w14:paraId="32B41B0D" w14:textId="7130D507" w:rsidR="003C4CBE" w:rsidRPr="00FB1A1D" w:rsidRDefault="003C4CBE" w:rsidP="00CD2136">
      <w:pPr>
        <w:pStyle w:val="Sinespaciado"/>
        <w:spacing w:after="120"/>
        <w:ind w:left="851"/>
        <w:rPr>
          <w:rFonts w:ascii="Arial" w:hAnsi="Arial" w:cs="Arial"/>
        </w:rPr>
      </w:pPr>
      <w:r w:rsidRPr="00FB1A1D">
        <w:rPr>
          <w:rFonts w:ascii="Arial" w:hAnsi="Arial" w:cs="Arial"/>
        </w:rPr>
        <w:t>2.4.2.1</w:t>
      </w:r>
      <w:r w:rsidR="00FB1A1D" w:rsidRPr="00FB1A1D">
        <w:rPr>
          <w:rFonts w:ascii="Arial" w:hAnsi="Arial" w:cs="Arial"/>
        </w:rPr>
        <w:t xml:space="preserve"> Elementos del Sistema de Gestión</w:t>
      </w:r>
    </w:p>
    <w:p w14:paraId="292E9607" w14:textId="709FDE18" w:rsidR="009A166F" w:rsidRPr="00FB1A1D" w:rsidRDefault="00197986" w:rsidP="00CD2136">
      <w:pPr>
        <w:pStyle w:val="Sinespaciado"/>
        <w:spacing w:after="120"/>
        <w:ind w:left="851"/>
        <w:jc w:val="both"/>
        <w:rPr>
          <w:rFonts w:ascii="Arial" w:hAnsi="Arial" w:cs="Arial"/>
        </w:rPr>
      </w:pPr>
      <w:r w:rsidRPr="00FB1A1D">
        <w:rPr>
          <w:rFonts w:ascii="Arial" w:hAnsi="Arial" w:cs="Arial"/>
        </w:rPr>
        <w:t>2.4.3</w:t>
      </w:r>
      <w:r w:rsidRPr="00FB1A1D">
        <w:rPr>
          <w:rFonts w:ascii="Arial" w:hAnsi="Arial" w:cs="Arial"/>
        </w:rPr>
        <w:tab/>
      </w:r>
      <w:r w:rsidR="00FB1A1D" w:rsidRPr="00FB1A1D">
        <w:rPr>
          <w:rFonts w:ascii="Arial" w:hAnsi="Arial" w:cs="Arial"/>
        </w:rPr>
        <w:t xml:space="preserve">Componente: </w:t>
      </w:r>
      <w:r w:rsidRPr="00FB1A1D">
        <w:rPr>
          <w:rFonts w:ascii="Arial" w:hAnsi="Arial" w:cs="Arial"/>
        </w:rPr>
        <w:t>Políticas de gestión y desempeño y componente ambiental</w:t>
      </w:r>
      <w:r w:rsidR="003B4A72" w:rsidRPr="00FB1A1D">
        <w:rPr>
          <w:rFonts w:ascii="Arial" w:hAnsi="Arial" w:cs="Arial"/>
        </w:rPr>
        <w:t xml:space="preserve"> </w:t>
      </w:r>
    </w:p>
    <w:p w14:paraId="224D9B69" w14:textId="5BDCD4EF" w:rsidR="009A166F" w:rsidRPr="00FB1A1D" w:rsidRDefault="009A166F" w:rsidP="00CD2136">
      <w:pPr>
        <w:pStyle w:val="Sinespaciado"/>
        <w:spacing w:after="120"/>
        <w:ind w:left="851"/>
        <w:rPr>
          <w:rFonts w:ascii="Arial" w:hAnsi="Arial" w:cs="Arial"/>
        </w:rPr>
      </w:pPr>
    </w:p>
    <w:p w14:paraId="65B87C00" w14:textId="52A9DBC5" w:rsidR="00197986" w:rsidRPr="00FB1A1D" w:rsidRDefault="00FB1A1D" w:rsidP="00CD2136">
      <w:pPr>
        <w:pStyle w:val="Sinespaciado"/>
        <w:numPr>
          <w:ilvl w:val="1"/>
          <w:numId w:val="13"/>
        </w:numPr>
        <w:spacing w:after="120"/>
        <w:ind w:left="851" w:hanging="425"/>
        <w:rPr>
          <w:rFonts w:ascii="Arial" w:hAnsi="Arial" w:cs="Arial"/>
        </w:rPr>
      </w:pPr>
      <w:r w:rsidRPr="00FB1A1D">
        <w:rPr>
          <w:rFonts w:ascii="Arial" w:hAnsi="Arial" w:cs="Arial"/>
        </w:rPr>
        <w:t>Seguimiento al Programa de Implementación y Sostenibilidad del Sistema de Gestión</w:t>
      </w:r>
    </w:p>
    <w:p w14:paraId="4F458023" w14:textId="77777777" w:rsidR="00764A64" w:rsidRPr="00283D5A" w:rsidRDefault="00764A64" w:rsidP="00764A64">
      <w:pPr>
        <w:pStyle w:val="Sinespaciado"/>
        <w:rPr>
          <w:rFonts w:ascii="Arial" w:hAnsi="Arial" w:cs="Arial"/>
        </w:rPr>
      </w:pPr>
    </w:p>
    <w:p w14:paraId="32A4DC4B" w14:textId="79A40029" w:rsidR="00CD2136" w:rsidRDefault="00CD2136" w:rsidP="003A3A25">
      <w:pPr>
        <w:pStyle w:val="Sinespaciado"/>
        <w:numPr>
          <w:ilvl w:val="0"/>
          <w:numId w:val="13"/>
        </w:numPr>
        <w:ind w:left="426" w:hanging="426"/>
        <w:rPr>
          <w:rFonts w:ascii="Arial" w:hAnsi="Arial" w:cs="Arial"/>
          <w:b/>
          <w:bCs/>
        </w:rPr>
      </w:pPr>
      <w:r>
        <w:rPr>
          <w:rFonts w:ascii="Arial" w:hAnsi="Arial" w:cs="Arial"/>
          <w:b/>
          <w:bCs/>
        </w:rPr>
        <w:t>Bibliografía</w:t>
      </w:r>
    </w:p>
    <w:p w14:paraId="23A719B6" w14:textId="77777777" w:rsidR="00CD2136" w:rsidRDefault="00CD2136" w:rsidP="00CD2136">
      <w:pPr>
        <w:pStyle w:val="Sinespaciado"/>
        <w:ind w:left="426"/>
        <w:rPr>
          <w:rFonts w:ascii="Arial" w:hAnsi="Arial" w:cs="Arial"/>
          <w:b/>
          <w:bCs/>
        </w:rPr>
      </w:pPr>
    </w:p>
    <w:p w14:paraId="62A58A00" w14:textId="30045E5D" w:rsidR="003B4A72" w:rsidRPr="00283D5A" w:rsidRDefault="00FB1A1D" w:rsidP="003A3A25">
      <w:pPr>
        <w:pStyle w:val="Sinespaciado"/>
        <w:numPr>
          <w:ilvl w:val="0"/>
          <w:numId w:val="13"/>
        </w:numPr>
        <w:ind w:left="426" w:hanging="426"/>
        <w:rPr>
          <w:rFonts w:ascii="Arial" w:hAnsi="Arial" w:cs="Arial"/>
          <w:b/>
          <w:bCs/>
        </w:rPr>
      </w:pPr>
      <w:r>
        <w:rPr>
          <w:rFonts w:ascii="Arial" w:hAnsi="Arial" w:cs="Arial"/>
          <w:b/>
          <w:bCs/>
        </w:rPr>
        <w:t>Aprobación del documento</w:t>
      </w:r>
    </w:p>
    <w:p w14:paraId="2C145FBE" w14:textId="77777777" w:rsidR="00764A64" w:rsidRPr="00283D5A" w:rsidRDefault="00764A64" w:rsidP="00764A64">
      <w:pPr>
        <w:pStyle w:val="Sinespaciado"/>
        <w:rPr>
          <w:rFonts w:ascii="Arial" w:hAnsi="Arial" w:cs="Arial"/>
          <w:b/>
          <w:bCs/>
        </w:rPr>
      </w:pPr>
    </w:p>
    <w:p w14:paraId="09567AEB" w14:textId="55B634D4" w:rsidR="00F56B6B" w:rsidRPr="00247B14" w:rsidRDefault="00F56B6B" w:rsidP="00F56B6B">
      <w:pPr>
        <w:pStyle w:val="Sinespaciado"/>
        <w:rPr>
          <w:sz w:val="24"/>
          <w:szCs w:val="24"/>
        </w:rPr>
      </w:pPr>
    </w:p>
    <w:p w14:paraId="0C903A48" w14:textId="77777777" w:rsidR="000823A0" w:rsidRDefault="000823A0" w:rsidP="000823A0">
      <w:pPr>
        <w:spacing w:after="0" w:line="240" w:lineRule="auto"/>
        <w:rPr>
          <w:b/>
          <w:bCs/>
          <w:sz w:val="28"/>
          <w:szCs w:val="28"/>
        </w:rPr>
      </w:pPr>
      <w:r>
        <w:rPr>
          <w:b/>
          <w:bCs/>
          <w:sz w:val="28"/>
          <w:szCs w:val="28"/>
        </w:rPr>
        <w:br w:type="page"/>
      </w:r>
    </w:p>
    <w:p w14:paraId="543B6E24" w14:textId="41C08204" w:rsidR="00F56B6B" w:rsidRPr="00283D5A" w:rsidRDefault="000823A0" w:rsidP="000823A0">
      <w:pPr>
        <w:pStyle w:val="Sinespaciado"/>
        <w:numPr>
          <w:ilvl w:val="0"/>
          <w:numId w:val="14"/>
        </w:numPr>
        <w:ind w:left="426" w:hanging="426"/>
        <w:rPr>
          <w:rFonts w:ascii="Arial" w:hAnsi="Arial" w:cs="Arial"/>
        </w:rPr>
      </w:pPr>
      <w:r w:rsidRPr="00283D5A">
        <w:rPr>
          <w:rFonts w:ascii="Arial" w:hAnsi="Arial" w:cs="Arial"/>
          <w:b/>
          <w:bCs/>
        </w:rPr>
        <w:lastRenderedPageBreak/>
        <w:t>Justificación</w:t>
      </w:r>
    </w:p>
    <w:p w14:paraId="0C7EF4B6" w14:textId="0D0B7F35" w:rsidR="000823A0" w:rsidRPr="00283D5A" w:rsidRDefault="000823A0" w:rsidP="00F56B6B">
      <w:pPr>
        <w:pStyle w:val="Sinespaciado"/>
        <w:rPr>
          <w:rFonts w:ascii="Arial" w:hAnsi="Arial" w:cs="Arial"/>
        </w:rPr>
      </w:pPr>
    </w:p>
    <w:p w14:paraId="1C237BD1" w14:textId="0F9FE5BB" w:rsidR="00443AF9" w:rsidRPr="00283D5A" w:rsidRDefault="007E392D" w:rsidP="00D100ED">
      <w:pPr>
        <w:pStyle w:val="Sinespaciado"/>
        <w:jc w:val="both"/>
        <w:rPr>
          <w:rFonts w:ascii="Arial" w:hAnsi="Arial" w:cs="Arial"/>
        </w:rPr>
      </w:pPr>
      <w:r w:rsidRPr="00283D5A">
        <w:rPr>
          <w:rFonts w:ascii="Arial" w:hAnsi="Arial" w:cs="Arial"/>
        </w:rPr>
        <w:t>Para explicar l</w:t>
      </w:r>
      <w:r w:rsidR="00443AF9" w:rsidRPr="00283D5A">
        <w:rPr>
          <w:rFonts w:ascii="Arial" w:hAnsi="Arial" w:cs="Arial"/>
        </w:rPr>
        <w:t xml:space="preserve">a necesidad de continuar con la </w:t>
      </w:r>
      <w:r w:rsidR="00D100ED" w:rsidRPr="00283D5A">
        <w:rPr>
          <w:rFonts w:ascii="Arial" w:hAnsi="Arial" w:cs="Arial"/>
        </w:rPr>
        <w:t xml:space="preserve">implementación y sostenibilidad del Sistema de Gestión de la Secretaría Distrital de Integración Social, en el marco del Modelo Integrado de Planeación y Gestión – MIPG, </w:t>
      </w:r>
      <w:r w:rsidR="00411E34" w:rsidRPr="00283D5A">
        <w:rPr>
          <w:rFonts w:ascii="Arial" w:hAnsi="Arial" w:cs="Arial"/>
        </w:rPr>
        <w:t>es importante contextualiza</w:t>
      </w:r>
      <w:r w:rsidR="00CF427E" w:rsidRPr="00283D5A">
        <w:rPr>
          <w:rFonts w:ascii="Arial" w:hAnsi="Arial" w:cs="Arial"/>
        </w:rPr>
        <w:t>r</w:t>
      </w:r>
      <w:r w:rsidR="00A77B0A" w:rsidRPr="00283D5A">
        <w:rPr>
          <w:rFonts w:ascii="Arial" w:hAnsi="Arial" w:cs="Arial"/>
        </w:rPr>
        <w:t xml:space="preserve"> en el tiempo</w:t>
      </w:r>
      <w:r w:rsidR="00FF040E" w:rsidRPr="00283D5A">
        <w:rPr>
          <w:rFonts w:ascii="Arial" w:hAnsi="Arial" w:cs="Arial"/>
        </w:rPr>
        <w:t xml:space="preserve">, su aparición, </w:t>
      </w:r>
      <w:r w:rsidR="00D27DA7" w:rsidRPr="00283D5A">
        <w:rPr>
          <w:rFonts w:ascii="Arial" w:hAnsi="Arial" w:cs="Arial"/>
        </w:rPr>
        <w:t xml:space="preserve">como una alternativa para resolver las problemáticas </w:t>
      </w:r>
      <w:r w:rsidR="0085682B" w:rsidRPr="00283D5A">
        <w:rPr>
          <w:rFonts w:ascii="Arial" w:hAnsi="Arial" w:cs="Arial"/>
        </w:rPr>
        <w:t xml:space="preserve">que </w:t>
      </w:r>
      <w:r w:rsidR="00C67776" w:rsidRPr="00283D5A">
        <w:rPr>
          <w:rFonts w:ascii="Arial" w:hAnsi="Arial" w:cs="Arial"/>
        </w:rPr>
        <w:t xml:space="preserve">se </w:t>
      </w:r>
      <w:r w:rsidR="00005AD3" w:rsidRPr="00283D5A">
        <w:rPr>
          <w:rFonts w:ascii="Arial" w:hAnsi="Arial" w:cs="Arial"/>
        </w:rPr>
        <w:t>presentan</w:t>
      </w:r>
      <w:r w:rsidR="0085682B" w:rsidRPr="00283D5A">
        <w:rPr>
          <w:rFonts w:ascii="Arial" w:hAnsi="Arial" w:cs="Arial"/>
        </w:rPr>
        <w:t xml:space="preserve"> </w:t>
      </w:r>
      <w:r w:rsidR="00C67776" w:rsidRPr="00283D5A">
        <w:rPr>
          <w:rFonts w:ascii="Arial" w:hAnsi="Arial" w:cs="Arial"/>
        </w:rPr>
        <w:t xml:space="preserve">en </w:t>
      </w:r>
      <w:r w:rsidR="006C0BC5" w:rsidRPr="00283D5A">
        <w:rPr>
          <w:rFonts w:ascii="Arial" w:hAnsi="Arial" w:cs="Arial"/>
        </w:rPr>
        <w:t xml:space="preserve">el ejercicio de la </w:t>
      </w:r>
      <w:r w:rsidR="00B5712A" w:rsidRPr="00283D5A">
        <w:rPr>
          <w:rFonts w:ascii="Arial" w:hAnsi="Arial" w:cs="Arial"/>
        </w:rPr>
        <w:t xml:space="preserve">gerencia y </w:t>
      </w:r>
      <w:r w:rsidR="00005AD3" w:rsidRPr="00283D5A">
        <w:rPr>
          <w:rFonts w:ascii="Arial" w:hAnsi="Arial" w:cs="Arial"/>
        </w:rPr>
        <w:t xml:space="preserve">administración </w:t>
      </w:r>
      <w:r w:rsidR="006C0BC5" w:rsidRPr="00283D5A">
        <w:rPr>
          <w:rFonts w:ascii="Arial" w:hAnsi="Arial" w:cs="Arial"/>
        </w:rPr>
        <w:t>pública</w:t>
      </w:r>
      <w:r w:rsidR="00005AD3" w:rsidRPr="00283D5A">
        <w:rPr>
          <w:rFonts w:ascii="Arial" w:hAnsi="Arial" w:cs="Arial"/>
        </w:rPr>
        <w:t>.</w:t>
      </w:r>
    </w:p>
    <w:p w14:paraId="1BB5E6C2" w14:textId="77777777" w:rsidR="0082767E" w:rsidRPr="00283D5A" w:rsidRDefault="0082767E" w:rsidP="00F56B6B">
      <w:pPr>
        <w:pStyle w:val="Sinespaciado"/>
        <w:rPr>
          <w:rFonts w:ascii="Arial" w:hAnsi="Arial" w:cs="Arial"/>
        </w:rPr>
      </w:pPr>
    </w:p>
    <w:p w14:paraId="0D468D09" w14:textId="1CEB03E0" w:rsidR="005A314B" w:rsidRPr="00283D5A" w:rsidRDefault="005A314B" w:rsidP="00124697">
      <w:pPr>
        <w:pStyle w:val="Sinespaciado"/>
        <w:jc w:val="both"/>
        <w:rPr>
          <w:rFonts w:ascii="Arial" w:hAnsi="Arial" w:cs="Arial"/>
        </w:rPr>
      </w:pPr>
      <w:r w:rsidRPr="00283D5A">
        <w:rPr>
          <w:rFonts w:ascii="Arial" w:hAnsi="Arial" w:cs="Arial"/>
        </w:rPr>
        <w:t xml:space="preserve">El estado </w:t>
      </w:r>
      <w:r w:rsidR="0011472D" w:rsidRPr="00283D5A">
        <w:rPr>
          <w:rFonts w:ascii="Arial" w:hAnsi="Arial" w:cs="Arial"/>
        </w:rPr>
        <w:t xml:space="preserve">colombiano, </w:t>
      </w:r>
      <w:r w:rsidR="00571B11" w:rsidRPr="00283D5A">
        <w:rPr>
          <w:rFonts w:ascii="Arial" w:hAnsi="Arial" w:cs="Arial"/>
        </w:rPr>
        <w:t>a finales de la década de los ochenta</w:t>
      </w:r>
      <w:r w:rsidR="00D15DC5" w:rsidRPr="00283D5A">
        <w:rPr>
          <w:rFonts w:ascii="Arial" w:hAnsi="Arial" w:cs="Arial"/>
        </w:rPr>
        <w:t xml:space="preserve">, </w:t>
      </w:r>
      <w:r w:rsidR="004F642A" w:rsidRPr="00283D5A">
        <w:rPr>
          <w:rFonts w:ascii="Arial" w:hAnsi="Arial" w:cs="Arial"/>
        </w:rPr>
        <w:t>“</w:t>
      </w:r>
      <w:r w:rsidR="00173143" w:rsidRPr="00283D5A">
        <w:rPr>
          <w:rFonts w:ascii="Arial" w:hAnsi="Arial" w:cs="Arial"/>
        </w:rPr>
        <w:t>detect</w:t>
      </w:r>
      <w:r w:rsidR="008A6D79" w:rsidRPr="00283D5A">
        <w:rPr>
          <w:rFonts w:ascii="Arial" w:hAnsi="Arial" w:cs="Arial"/>
        </w:rPr>
        <w:t>ó</w:t>
      </w:r>
      <w:r w:rsidR="00173143" w:rsidRPr="00283D5A">
        <w:rPr>
          <w:rFonts w:ascii="Arial" w:hAnsi="Arial" w:cs="Arial"/>
        </w:rPr>
        <w:t xml:space="preserve"> una crisis </w:t>
      </w:r>
      <w:r w:rsidR="00B51A65" w:rsidRPr="00283D5A">
        <w:rPr>
          <w:rFonts w:ascii="Arial" w:hAnsi="Arial" w:cs="Arial"/>
        </w:rPr>
        <w:t xml:space="preserve">en </w:t>
      </w:r>
      <w:r w:rsidR="007758A4" w:rsidRPr="00283D5A">
        <w:rPr>
          <w:rFonts w:ascii="Arial" w:hAnsi="Arial" w:cs="Arial"/>
        </w:rPr>
        <w:t xml:space="preserve">su eficacia, </w:t>
      </w:r>
      <w:r w:rsidR="003744BF" w:rsidRPr="00283D5A">
        <w:rPr>
          <w:rFonts w:ascii="Arial" w:hAnsi="Arial" w:cs="Arial"/>
        </w:rPr>
        <w:t xml:space="preserve">marcada por la </w:t>
      </w:r>
      <w:r w:rsidR="00521152" w:rsidRPr="00283D5A">
        <w:rPr>
          <w:rFonts w:ascii="Arial" w:hAnsi="Arial" w:cs="Arial"/>
        </w:rPr>
        <w:t xml:space="preserve">distorsión en los fines del sector </w:t>
      </w:r>
      <w:r w:rsidR="00124697" w:rsidRPr="00283D5A">
        <w:rPr>
          <w:rFonts w:ascii="Arial" w:hAnsi="Arial" w:cs="Arial"/>
        </w:rPr>
        <w:t>público, la excesiva regulación, la tramitología administrativa</w:t>
      </w:r>
      <w:r w:rsidR="00D41B1C" w:rsidRPr="00283D5A">
        <w:rPr>
          <w:rFonts w:ascii="Arial" w:hAnsi="Arial" w:cs="Arial"/>
        </w:rPr>
        <w:t xml:space="preserve">, desigualdades en el desarrollo regional, </w:t>
      </w:r>
      <w:r w:rsidR="00A77C90" w:rsidRPr="00283D5A">
        <w:rPr>
          <w:rFonts w:ascii="Arial" w:hAnsi="Arial" w:cs="Arial"/>
        </w:rPr>
        <w:t>la ausencia de participación</w:t>
      </w:r>
      <w:r w:rsidR="0021304C" w:rsidRPr="00283D5A">
        <w:rPr>
          <w:rFonts w:ascii="Arial" w:hAnsi="Arial" w:cs="Arial"/>
        </w:rPr>
        <w:t xml:space="preserve"> ciudadana</w:t>
      </w:r>
      <w:r w:rsidR="001424FF" w:rsidRPr="00283D5A">
        <w:rPr>
          <w:rFonts w:ascii="Arial" w:hAnsi="Arial" w:cs="Arial"/>
        </w:rPr>
        <w:t xml:space="preserve">, centralización </w:t>
      </w:r>
      <w:r w:rsidR="0087736A" w:rsidRPr="00283D5A">
        <w:rPr>
          <w:rFonts w:ascii="Arial" w:hAnsi="Arial" w:cs="Arial"/>
        </w:rPr>
        <w:t xml:space="preserve">estatal, </w:t>
      </w:r>
      <w:r w:rsidR="00121538" w:rsidRPr="00283D5A">
        <w:rPr>
          <w:rFonts w:ascii="Arial" w:hAnsi="Arial" w:cs="Arial"/>
        </w:rPr>
        <w:t>concentración de los poderes económico y político, y la administración q</w:t>
      </w:r>
      <w:r w:rsidR="00E751F1" w:rsidRPr="00283D5A">
        <w:rPr>
          <w:rFonts w:ascii="Arial" w:hAnsi="Arial" w:cs="Arial"/>
        </w:rPr>
        <w:t>ue favorece la corrupción</w:t>
      </w:r>
      <w:r w:rsidR="000E52FF" w:rsidRPr="00283D5A">
        <w:rPr>
          <w:rFonts w:ascii="Arial" w:hAnsi="Arial" w:cs="Arial"/>
        </w:rPr>
        <w:t>.</w:t>
      </w:r>
      <w:r w:rsidR="00C31295" w:rsidRPr="00283D5A">
        <w:rPr>
          <w:rFonts w:ascii="Arial" w:hAnsi="Arial" w:cs="Arial"/>
        </w:rPr>
        <w:t xml:space="preserve"> </w:t>
      </w:r>
      <w:r w:rsidR="000E52FF" w:rsidRPr="00283D5A">
        <w:rPr>
          <w:rFonts w:ascii="Arial" w:hAnsi="Arial" w:cs="Arial"/>
        </w:rPr>
        <w:t>T</w:t>
      </w:r>
      <w:r w:rsidR="00324952" w:rsidRPr="00283D5A">
        <w:rPr>
          <w:rFonts w:ascii="Arial" w:hAnsi="Arial" w:cs="Arial"/>
        </w:rPr>
        <w:t xml:space="preserve">odo esto </w:t>
      </w:r>
      <w:r w:rsidR="009D4747" w:rsidRPr="00283D5A">
        <w:rPr>
          <w:rFonts w:ascii="Arial" w:hAnsi="Arial" w:cs="Arial"/>
        </w:rPr>
        <w:t xml:space="preserve">apreciaba </w:t>
      </w:r>
      <w:r w:rsidR="00D838DC" w:rsidRPr="00283D5A">
        <w:rPr>
          <w:rFonts w:ascii="Arial" w:hAnsi="Arial" w:cs="Arial"/>
        </w:rPr>
        <w:t xml:space="preserve">en ese </w:t>
      </w:r>
      <w:r w:rsidR="00B11CA6" w:rsidRPr="00283D5A">
        <w:rPr>
          <w:rFonts w:ascii="Arial" w:hAnsi="Arial" w:cs="Arial"/>
        </w:rPr>
        <w:t>“</w:t>
      </w:r>
      <w:r w:rsidR="00D838DC" w:rsidRPr="00283D5A">
        <w:rPr>
          <w:rFonts w:ascii="Arial" w:hAnsi="Arial" w:cs="Arial"/>
        </w:rPr>
        <w:t>entonces</w:t>
      </w:r>
      <w:r w:rsidR="00B11CA6" w:rsidRPr="00283D5A">
        <w:rPr>
          <w:rFonts w:ascii="Arial" w:hAnsi="Arial" w:cs="Arial"/>
        </w:rPr>
        <w:t>”</w:t>
      </w:r>
      <w:r w:rsidR="00D838DC" w:rsidRPr="00283D5A">
        <w:rPr>
          <w:rFonts w:ascii="Arial" w:hAnsi="Arial" w:cs="Arial"/>
        </w:rPr>
        <w:t xml:space="preserve"> </w:t>
      </w:r>
      <w:r w:rsidR="009D4747" w:rsidRPr="00283D5A">
        <w:rPr>
          <w:rFonts w:ascii="Arial" w:hAnsi="Arial" w:cs="Arial"/>
        </w:rPr>
        <w:t>un</w:t>
      </w:r>
      <w:r w:rsidR="00D838DC" w:rsidRPr="00283D5A">
        <w:rPr>
          <w:rFonts w:ascii="Arial" w:hAnsi="Arial" w:cs="Arial"/>
        </w:rPr>
        <w:t>a</w:t>
      </w:r>
      <w:r w:rsidR="009D4747" w:rsidRPr="00283D5A">
        <w:rPr>
          <w:rFonts w:ascii="Arial" w:hAnsi="Arial" w:cs="Arial"/>
        </w:rPr>
        <w:t xml:space="preserve"> </w:t>
      </w:r>
      <w:r w:rsidR="00B11CA6" w:rsidRPr="00283D5A">
        <w:rPr>
          <w:rFonts w:ascii="Arial" w:hAnsi="Arial" w:cs="Arial"/>
        </w:rPr>
        <w:t xml:space="preserve">administración pública ineficiente que </w:t>
      </w:r>
      <w:r w:rsidR="00A07775" w:rsidRPr="00283D5A">
        <w:rPr>
          <w:rFonts w:ascii="Arial" w:hAnsi="Arial" w:cs="Arial"/>
        </w:rPr>
        <w:t>tenía</w:t>
      </w:r>
      <w:r w:rsidR="00B11CA6" w:rsidRPr="00283D5A">
        <w:rPr>
          <w:rFonts w:ascii="Arial" w:hAnsi="Arial" w:cs="Arial"/>
        </w:rPr>
        <w:t xml:space="preserve"> como consecuencia la pérdida de legitimidad del Estado, por el no cumplimiento o desviación de los fines esenciales del mismo.</w:t>
      </w:r>
      <w:r w:rsidR="00FA31E2" w:rsidRPr="00283D5A">
        <w:rPr>
          <w:rFonts w:ascii="Arial" w:hAnsi="Arial" w:cs="Arial"/>
        </w:rPr>
        <w:t xml:space="preserve"> </w:t>
      </w:r>
      <w:r w:rsidR="00315F04" w:rsidRPr="00283D5A">
        <w:rPr>
          <w:rFonts w:ascii="Arial" w:hAnsi="Arial" w:cs="Arial"/>
        </w:rPr>
        <w:t>Frente a esta crisis la Constitución de 1991</w:t>
      </w:r>
      <w:r w:rsidR="00C82E19" w:rsidRPr="00283D5A">
        <w:rPr>
          <w:rFonts w:ascii="Arial" w:hAnsi="Arial" w:cs="Arial"/>
        </w:rPr>
        <w:t xml:space="preserve"> </w:t>
      </w:r>
      <w:r w:rsidR="00315F04" w:rsidRPr="00283D5A">
        <w:rPr>
          <w:rFonts w:ascii="Arial" w:hAnsi="Arial" w:cs="Arial"/>
        </w:rPr>
        <w:t>reivindica para el Estado una nueva legitimidad fundada en la eficacia del Estado</w:t>
      </w:r>
      <w:r w:rsidR="004F642A" w:rsidRPr="00283D5A">
        <w:rPr>
          <w:rFonts w:ascii="Arial" w:hAnsi="Arial" w:cs="Arial"/>
        </w:rPr>
        <w:t>”</w:t>
      </w:r>
      <w:r w:rsidR="00315F04" w:rsidRPr="00283D5A">
        <w:rPr>
          <w:rFonts w:ascii="Arial" w:hAnsi="Arial" w:cs="Arial"/>
        </w:rPr>
        <w:t>.</w:t>
      </w:r>
      <w:r w:rsidR="00922D2A" w:rsidRPr="00283D5A">
        <w:rPr>
          <w:rFonts w:ascii="Arial" w:hAnsi="Arial" w:cs="Arial"/>
        </w:rPr>
        <w:t xml:space="preserve"> </w:t>
      </w:r>
      <w:r w:rsidR="00114F43" w:rsidRPr="00283D5A">
        <w:rPr>
          <w:rFonts w:ascii="Arial" w:hAnsi="Arial" w:cs="Arial"/>
        </w:rPr>
        <w:t>(</w:t>
      </w:r>
      <w:r w:rsidR="00E30CAB" w:rsidRPr="00283D5A">
        <w:rPr>
          <w:rFonts w:ascii="Arial" w:hAnsi="Arial" w:cs="Arial"/>
        </w:rPr>
        <w:t>Sánchez</w:t>
      </w:r>
      <w:r w:rsidR="009E4F5C" w:rsidRPr="00283D5A">
        <w:rPr>
          <w:rFonts w:ascii="Arial" w:hAnsi="Arial" w:cs="Arial"/>
        </w:rPr>
        <w:t xml:space="preserve">, </w:t>
      </w:r>
      <w:r w:rsidR="0043470D" w:rsidRPr="00283D5A">
        <w:rPr>
          <w:rFonts w:ascii="Arial" w:hAnsi="Arial" w:cs="Arial"/>
        </w:rPr>
        <w:t>1999</w:t>
      </w:r>
      <w:r w:rsidR="009E4F5C" w:rsidRPr="00283D5A">
        <w:rPr>
          <w:rFonts w:ascii="Arial" w:hAnsi="Arial" w:cs="Arial"/>
        </w:rPr>
        <w:t>)</w:t>
      </w:r>
    </w:p>
    <w:p w14:paraId="3D2D03AB" w14:textId="4D3B2645" w:rsidR="005A314B" w:rsidRPr="00283D5A" w:rsidRDefault="005A314B" w:rsidP="002D3534">
      <w:pPr>
        <w:pStyle w:val="Sinespaciado"/>
        <w:jc w:val="both"/>
        <w:rPr>
          <w:rFonts w:ascii="Arial" w:hAnsi="Arial" w:cs="Arial"/>
        </w:rPr>
      </w:pPr>
    </w:p>
    <w:p w14:paraId="2D376FFB" w14:textId="05316C3C" w:rsidR="005A314B" w:rsidRPr="00283D5A" w:rsidRDefault="002D3534" w:rsidP="002D3534">
      <w:pPr>
        <w:pStyle w:val="Sinespaciado"/>
        <w:jc w:val="both"/>
        <w:rPr>
          <w:rFonts w:ascii="Arial" w:hAnsi="Arial" w:cs="Arial"/>
        </w:rPr>
      </w:pPr>
      <w:r w:rsidRPr="00283D5A">
        <w:rPr>
          <w:rFonts w:ascii="Arial" w:hAnsi="Arial" w:cs="Arial"/>
        </w:rPr>
        <w:t xml:space="preserve">La Constitución Política de 1991, en el Capítulo 5º del Título VII se refiere a la función administrativa señalando el marco general de dicha función y derrotero del cambio institucional, común a todo el Estado. </w:t>
      </w:r>
      <w:r w:rsidR="00BE355A" w:rsidRPr="00283D5A">
        <w:rPr>
          <w:rFonts w:ascii="Arial" w:hAnsi="Arial" w:cs="Arial"/>
        </w:rPr>
        <w:t>En el marco de carta política, nace l</w:t>
      </w:r>
      <w:r w:rsidRPr="00283D5A">
        <w:rPr>
          <w:rFonts w:ascii="Arial" w:hAnsi="Arial" w:cs="Arial"/>
        </w:rPr>
        <w:t xml:space="preserve">a Ley 489 de 1998 </w:t>
      </w:r>
      <w:r w:rsidR="00BE355A" w:rsidRPr="00283D5A">
        <w:rPr>
          <w:rFonts w:ascii="Arial" w:hAnsi="Arial" w:cs="Arial"/>
        </w:rPr>
        <w:t xml:space="preserve">que tuvo </w:t>
      </w:r>
      <w:r w:rsidRPr="00283D5A">
        <w:rPr>
          <w:rFonts w:ascii="Arial" w:hAnsi="Arial" w:cs="Arial"/>
        </w:rPr>
        <w:t>por objeto regular el ejercicio de la función administrativa, determinar la estructura y definir las reglas básicas de la organización y funcionamiento de la administración pública</w:t>
      </w:r>
      <w:r w:rsidR="004F642A" w:rsidRPr="00283D5A">
        <w:rPr>
          <w:rFonts w:ascii="Arial" w:hAnsi="Arial" w:cs="Arial"/>
        </w:rPr>
        <w:t>”</w:t>
      </w:r>
      <w:r w:rsidRPr="00283D5A">
        <w:rPr>
          <w:rFonts w:ascii="Arial" w:hAnsi="Arial" w:cs="Arial"/>
        </w:rPr>
        <w:t>.</w:t>
      </w:r>
      <w:r w:rsidR="00E30CAB" w:rsidRPr="00283D5A">
        <w:rPr>
          <w:rFonts w:ascii="Arial" w:hAnsi="Arial" w:cs="Arial"/>
        </w:rPr>
        <w:t xml:space="preserve"> (Sánchez, 1999)</w:t>
      </w:r>
    </w:p>
    <w:p w14:paraId="38DF4CD9" w14:textId="6772346F" w:rsidR="005A314B" w:rsidRPr="00283D5A" w:rsidRDefault="005A314B" w:rsidP="002D3534">
      <w:pPr>
        <w:pStyle w:val="Sinespaciado"/>
        <w:jc w:val="both"/>
        <w:rPr>
          <w:rFonts w:ascii="Arial" w:hAnsi="Arial" w:cs="Arial"/>
        </w:rPr>
      </w:pPr>
    </w:p>
    <w:p w14:paraId="01CC04AF" w14:textId="520653DF" w:rsidR="006E6A27" w:rsidRPr="00283D5A" w:rsidRDefault="000B6C1F" w:rsidP="003E125F">
      <w:pPr>
        <w:pStyle w:val="Sinespaciado"/>
        <w:jc w:val="both"/>
        <w:rPr>
          <w:rFonts w:ascii="Arial" w:hAnsi="Arial" w:cs="Arial"/>
        </w:rPr>
      </w:pPr>
      <w:r w:rsidRPr="00283D5A">
        <w:rPr>
          <w:rFonts w:ascii="Arial" w:hAnsi="Arial" w:cs="Arial"/>
        </w:rPr>
        <w:t xml:space="preserve">La Ley 489 de 1998, </w:t>
      </w:r>
      <w:r w:rsidR="00705651" w:rsidRPr="00283D5A">
        <w:rPr>
          <w:rFonts w:ascii="Arial" w:hAnsi="Arial" w:cs="Arial"/>
        </w:rPr>
        <w:t xml:space="preserve">entre otras grandes apuestas, </w:t>
      </w:r>
      <w:r w:rsidRPr="00283D5A">
        <w:rPr>
          <w:rFonts w:ascii="Arial" w:hAnsi="Arial" w:cs="Arial"/>
        </w:rPr>
        <w:t>establec</w:t>
      </w:r>
      <w:r w:rsidR="00E2647F" w:rsidRPr="00283D5A">
        <w:rPr>
          <w:rFonts w:ascii="Arial" w:hAnsi="Arial" w:cs="Arial"/>
        </w:rPr>
        <w:t>ió</w:t>
      </w:r>
      <w:r w:rsidRPr="00283D5A">
        <w:rPr>
          <w:rFonts w:ascii="Arial" w:hAnsi="Arial" w:cs="Arial"/>
        </w:rPr>
        <w:t xml:space="preserve"> </w:t>
      </w:r>
      <w:r w:rsidR="003E125F" w:rsidRPr="00283D5A">
        <w:rPr>
          <w:rFonts w:ascii="Arial" w:hAnsi="Arial" w:cs="Arial"/>
        </w:rPr>
        <w:t>los</w:t>
      </w:r>
      <w:r w:rsidRPr="00283D5A">
        <w:rPr>
          <w:rFonts w:ascii="Arial" w:hAnsi="Arial" w:cs="Arial"/>
        </w:rPr>
        <w:t xml:space="preserve"> </w:t>
      </w:r>
      <w:r w:rsidR="003E125F" w:rsidRPr="00283D5A">
        <w:rPr>
          <w:rFonts w:ascii="Arial" w:hAnsi="Arial" w:cs="Arial"/>
        </w:rPr>
        <w:t>instrumentos</w:t>
      </w:r>
      <w:r w:rsidR="00834B2D" w:rsidRPr="00283D5A">
        <w:rPr>
          <w:rFonts w:ascii="Arial" w:hAnsi="Arial" w:cs="Arial"/>
        </w:rPr>
        <w:t xml:space="preserve"> para la democracia</w:t>
      </w:r>
      <w:r w:rsidR="003E125F" w:rsidRPr="00283D5A">
        <w:rPr>
          <w:rFonts w:ascii="Arial" w:hAnsi="Arial" w:cs="Arial"/>
        </w:rPr>
        <w:t>, para</w:t>
      </w:r>
      <w:r w:rsidR="00834B2D" w:rsidRPr="00283D5A">
        <w:rPr>
          <w:rFonts w:ascii="Arial" w:hAnsi="Arial" w:cs="Arial"/>
        </w:rPr>
        <w:t xml:space="preserve"> </w:t>
      </w:r>
      <w:r w:rsidR="003E125F" w:rsidRPr="00283D5A">
        <w:rPr>
          <w:rFonts w:ascii="Arial" w:hAnsi="Arial" w:cs="Arial"/>
        </w:rPr>
        <w:t xml:space="preserve">la participación </w:t>
      </w:r>
      <w:r w:rsidR="00AF7282" w:rsidRPr="00283D5A">
        <w:rPr>
          <w:rFonts w:ascii="Arial" w:hAnsi="Arial" w:cs="Arial"/>
        </w:rPr>
        <w:t xml:space="preserve">y le da </w:t>
      </w:r>
      <w:r w:rsidR="006E6A27" w:rsidRPr="00283D5A">
        <w:rPr>
          <w:rFonts w:ascii="Arial" w:hAnsi="Arial" w:cs="Arial"/>
        </w:rPr>
        <w:t xml:space="preserve">un enfoque </w:t>
      </w:r>
      <w:r w:rsidR="00346E95" w:rsidRPr="00283D5A">
        <w:rPr>
          <w:rFonts w:ascii="Arial" w:hAnsi="Arial" w:cs="Arial"/>
        </w:rPr>
        <w:t xml:space="preserve">sistémico </w:t>
      </w:r>
      <w:r w:rsidR="00E2647F" w:rsidRPr="00283D5A">
        <w:rPr>
          <w:rFonts w:ascii="Arial" w:hAnsi="Arial" w:cs="Arial"/>
        </w:rPr>
        <w:t>a</w:t>
      </w:r>
      <w:r w:rsidR="006E6A27" w:rsidRPr="00283D5A">
        <w:rPr>
          <w:rFonts w:ascii="Arial" w:hAnsi="Arial" w:cs="Arial"/>
        </w:rPr>
        <w:t xml:space="preserve"> la administración</w:t>
      </w:r>
      <w:r w:rsidR="00E2647F" w:rsidRPr="00283D5A">
        <w:rPr>
          <w:rFonts w:ascii="Arial" w:hAnsi="Arial" w:cs="Arial"/>
        </w:rPr>
        <w:t xml:space="preserve"> pública</w:t>
      </w:r>
      <w:r w:rsidR="00346E95" w:rsidRPr="00283D5A">
        <w:rPr>
          <w:rFonts w:ascii="Arial" w:hAnsi="Arial" w:cs="Arial"/>
        </w:rPr>
        <w:t xml:space="preserve">, </w:t>
      </w:r>
      <w:r w:rsidR="001538A9" w:rsidRPr="00283D5A">
        <w:rPr>
          <w:rFonts w:ascii="Arial" w:hAnsi="Arial" w:cs="Arial"/>
        </w:rPr>
        <w:t>que permitió</w:t>
      </w:r>
      <w:r w:rsidR="00B501EA" w:rsidRPr="00283D5A">
        <w:rPr>
          <w:rFonts w:ascii="Arial" w:hAnsi="Arial" w:cs="Arial"/>
        </w:rPr>
        <w:t xml:space="preserve"> la adopción</w:t>
      </w:r>
      <w:r w:rsidR="00346E95" w:rsidRPr="00283D5A">
        <w:rPr>
          <w:rFonts w:ascii="Arial" w:hAnsi="Arial" w:cs="Arial"/>
        </w:rPr>
        <w:t xml:space="preserve"> </w:t>
      </w:r>
      <w:r w:rsidR="00B501EA" w:rsidRPr="00283D5A">
        <w:rPr>
          <w:rFonts w:ascii="Arial" w:hAnsi="Arial" w:cs="Arial"/>
        </w:rPr>
        <w:t xml:space="preserve">de los </w:t>
      </w:r>
      <w:r w:rsidR="006E6A27" w:rsidRPr="00283D5A">
        <w:rPr>
          <w:rFonts w:ascii="Arial" w:hAnsi="Arial" w:cs="Arial"/>
        </w:rPr>
        <w:t>sistemas</w:t>
      </w:r>
      <w:r w:rsidR="003F7865" w:rsidRPr="00283D5A">
        <w:rPr>
          <w:rFonts w:ascii="Arial" w:hAnsi="Arial" w:cs="Arial"/>
        </w:rPr>
        <w:t xml:space="preserve"> </w:t>
      </w:r>
      <w:r w:rsidR="006E6A27" w:rsidRPr="00283D5A">
        <w:rPr>
          <w:rFonts w:ascii="Arial" w:hAnsi="Arial" w:cs="Arial"/>
        </w:rPr>
        <w:t>de desarrollo de la administración y el sistema nacional de control interno.</w:t>
      </w:r>
    </w:p>
    <w:p w14:paraId="58C0A23A" w14:textId="711C7458" w:rsidR="006825B7" w:rsidRPr="00283D5A" w:rsidRDefault="006825B7" w:rsidP="002D3534">
      <w:pPr>
        <w:pStyle w:val="Sinespaciado"/>
        <w:jc w:val="both"/>
        <w:rPr>
          <w:rFonts w:ascii="Arial" w:hAnsi="Arial" w:cs="Arial"/>
        </w:rPr>
      </w:pPr>
    </w:p>
    <w:p w14:paraId="75C6A535" w14:textId="78BF0717" w:rsidR="009F1078" w:rsidRPr="00283D5A" w:rsidRDefault="00260C8B" w:rsidP="00BD5B9A">
      <w:pPr>
        <w:pStyle w:val="Sinespaciado"/>
        <w:jc w:val="both"/>
        <w:rPr>
          <w:rFonts w:ascii="Arial" w:hAnsi="Arial" w:cs="Arial"/>
        </w:rPr>
      </w:pPr>
      <w:r w:rsidRPr="00283D5A">
        <w:rPr>
          <w:rFonts w:ascii="Arial" w:hAnsi="Arial" w:cs="Arial"/>
        </w:rPr>
        <w:t xml:space="preserve">El gobierno </w:t>
      </w:r>
      <w:r w:rsidR="00A25129" w:rsidRPr="00283D5A">
        <w:rPr>
          <w:rFonts w:ascii="Arial" w:hAnsi="Arial" w:cs="Arial"/>
        </w:rPr>
        <w:t>n</w:t>
      </w:r>
      <w:r w:rsidRPr="00283D5A">
        <w:rPr>
          <w:rFonts w:ascii="Arial" w:hAnsi="Arial" w:cs="Arial"/>
        </w:rPr>
        <w:t xml:space="preserve">acional </w:t>
      </w:r>
      <w:r w:rsidR="00A25129" w:rsidRPr="00283D5A">
        <w:rPr>
          <w:rFonts w:ascii="Arial" w:hAnsi="Arial" w:cs="Arial"/>
        </w:rPr>
        <w:t xml:space="preserve">promulga la </w:t>
      </w:r>
      <w:r w:rsidRPr="00283D5A">
        <w:rPr>
          <w:rFonts w:ascii="Arial" w:hAnsi="Arial" w:cs="Arial"/>
        </w:rPr>
        <w:t>Ley 872 de 2003</w:t>
      </w:r>
      <w:r w:rsidR="00A25129" w:rsidRPr="00283D5A">
        <w:rPr>
          <w:rFonts w:ascii="Arial" w:hAnsi="Arial" w:cs="Arial"/>
        </w:rPr>
        <w:t xml:space="preserve">, por medio de la cual </w:t>
      </w:r>
      <w:r w:rsidR="0023688D" w:rsidRPr="00283D5A">
        <w:rPr>
          <w:rFonts w:ascii="Arial" w:hAnsi="Arial" w:cs="Arial"/>
        </w:rPr>
        <w:t>crea el Sistema de Gestión de la Calidad en la Rama Ejecutiva del Poder Público</w:t>
      </w:r>
      <w:r w:rsidR="00803E9F" w:rsidRPr="00283D5A">
        <w:rPr>
          <w:rFonts w:ascii="Arial" w:hAnsi="Arial" w:cs="Arial"/>
        </w:rPr>
        <w:t>.</w:t>
      </w:r>
      <w:r w:rsidR="00FA6764" w:rsidRPr="00283D5A">
        <w:rPr>
          <w:rFonts w:ascii="Arial" w:hAnsi="Arial" w:cs="Arial"/>
        </w:rPr>
        <w:t xml:space="preserve"> </w:t>
      </w:r>
      <w:r w:rsidR="00803E9F" w:rsidRPr="00283D5A">
        <w:rPr>
          <w:rFonts w:ascii="Arial" w:hAnsi="Arial" w:cs="Arial"/>
        </w:rPr>
        <w:t>E</w:t>
      </w:r>
      <w:r w:rsidR="00FA6764" w:rsidRPr="00283D5A">
        <w:rPr>
          <w:rFonts w:ascii="Arial" w:hAnsi="Arial" w:cs="Arial"/>
        </w:rPr>
        <w:t>n este marco</w:t>
      </w:r>
      <w:r w:rsidR="00E2696E" w:rsidRPr="00283D5A">
        <w:rPr>
          <w:rFonts w:ascii="Arial" w:hAnsi="Arial" w:cs="Arial"/>
        </w:rPr>
        <w:t xml:space="preserve">, </w:t>
      </w:r>
      <w:r w:rsidR="00FA6764" w:rsidRPr="00283D5A">
        <w:rPr>
          <w:rFonts w:ascii="Arial" w:hAnsi="Arial" w:cs="Arial"/>
        </w:rPr>
        <w:t>el Concejo de Bogotá D.</w:t>
      </w:r>
      <w:r w:rsidR="004F5BF8" w:rsidRPr="00283D5A">
        <w:rPr>
          <w:rFonts w:ascii="Arial" w:hAnsi="Arial" w:cs="Arial"/>
        </w:rPr>
        <w:t>C.,</w:t>
      </w:r>
      <w:r w:rsidR="00AF39EE" w:rsidRPr="00283D5A">
        <w:rPr>
          <w:rFonts w:ascii="Arial" w:hAnsi="Arial" w:cs="Arial"/>
        </w:rPr>
        <w:t xml:space="preserve"> </w:t>
      </w:r>
      <w:r w:rsidR="009E2AD3" w:rsidRPr="00283D5A">
        <w:rPr>
          <w:rFonts w:ascii="Arial" w:hAnsi="Arial" w:cs="Arial"/>
        </w:rPr>
        <w:t>estableció el</w:t>
      </w:r>
      <w:r w:rsidR="00AF39EE" w:rsidRPr="00283D5A">
        <w:rPr>
          <w:rFonts w:ascii="Arial" w:hAnsi="Arial" w:cs="Arial"/>
        </w:rPr>
        <w:t xml:space="preserve"> </w:t>
      </w:r>
      <w:r w:rsidR="00803E9F" w:rsidRPr="00283D5A">
        <w:rPr>
          <w:rFonts w:ascii="Arial" w:hAnsi="Arial" w:cs="Arial"/>
        </w:rPr>
        <w:t>A</w:t>
      </w:r>
      <w:r w:rsidR="00AF39EE" w:rsidRPr="00283D5A">
        <w:rPr>
          <w:rFonts w:ascii="Arial" w:hAnsi="Arial" w:cs="Arial"/>
        </w:rPr>
        <w:t xml:space="preserve">cuerdo </w:t>
      </w:r>
      <w:r w:rsidR="00803E9F" w:rsidRPr="00283D5A">
        <w:rPr>
          <w:rFonts w:ascii="Arial" w:hAnsi="Arial" w:cs="Arial"/>
        </w:rPr>
        <w:t xml:space="preserve">122 de </w:t>
      </w:r>
      <w:r w:rsidR="00DE7FCF" w:rsidRPr="00283D5A">
        <w:rPr>
          <w:rFonts w:ascii="Arial" w:hAnsi="Arial" w:cs="Arial"/>
        </w:rPr>
        <w:t xml:space="preserve">2004 que </w:t>
      </w:r>
      <w:r w:rsidR="00BD5B9A" w:rsidRPr="00283D5A">
        <w:rPr>
          <w:rFonts w:ascii="Arial" w:hAnsi="Arial" w:cs="Arial"/>
        </w:rPr>
        <w:t>adopt</w:t>
      </w:r>
      <w:r w:rsidR="009E2AD3" w:rsidRPr="00283D5A">
        <w:rPr>
          <w:rFonts w:ascii="Arial" w:hAnsi="Arial" w:cs="Arial"/>
        </w:rPr>
        <w:t>ó</w:t>
      </w:r>
      <w:r w:rsidR="00BD5B9A" w:rsidRPr="00283D5A">
        <w:rPr>
          <w:rFonts w:ascii="Arial" w:hAnsi="Arial" w:cs="Arial"/>
        </w:rPr>
        <w:t xml:space="preserve"> el sistema de gestión de la calida</w:t>
      </w:r>
      <w:r w:rsidR="001D4BFD" w:rsidRPr="00283D5A">
        <w:rPr>
          <w:rFonts w:ascii="Arial" w:hAnsi="Arial" w:cs="Arial"/>
        </w:rPr>
        <w:t>d</w:t>
      </w:r>
      <w:r w:rsidR="00BD5B9A" w:rsidRPr="00283D5A">
        <w:rPr>
          <w:rFonts w:ascii="Arial" w:hAnsi="Arial" w:cs="Arial"/>
        </w:rPr>
        <w:t xml:space="preserve">, en las entidades distritales, basado en procesos con la finalidad de obtener eficiencia, eficacia, efectividad, economía y </w:t>
      </w:r>
      <w:r w:rsidR="001D4BFD" w:rsidRPr="00283D5A">
        <w:rPr>
          <w:rFonts w:ascii="Arial" w:hAnsi="Arial" w:cs="Arial"/>
        </w:rPr>
        <w:t>celeridad</w:t>
      </w:r>
      <w:r w:rsidR="0022122B" w:rsidRPr="00283D5A">
        <w:rPr>
          <w:rFonts w:ascii="Arial" w:hAnsi="Arial" w:cs="Arial"/>
        </w:rPr>
        <w:t>.</w:t>
      </w:r>
      <w:r w:rsidR="009332F8" w:rsidRPr="00283D5A">
        <w:rPr>
          <w:rFonts w:ascii="Arial" w:hAnsi="Arial" w:cs="Arial"/>
        </w:rPr>
        <w:t xml:space="preserve"> </w:t>
      </w:r>
      <w:r w:rsidR="00C313AC" w:rsidRPr="00283D5A">
        <w:rPr>
          <w:rFonts w:ascii="Arial" w:hAnsi="Arial" w:cs="Arial"/>
        </w:rPr>
        <w:t>A</w:t>
      </w:r>
      <w:r w:rsidR="001F19BA" w:rsidRPr="00283D5A">
        <w:rPr>
          <w:rFonts w:ascii="Arial" w:hAnsi="Arial" w:cs="Arial"/>
        </w:rPr>
        <w:t xml:space="preserve"> su vez la </w:t>
      </w:r>
      <w:r w:rsidR="009332F8" w:rsidRPr="00283D5A">
        <w:rPr>
          <w:rFonts w:ascii="Arial" w:hAnsi="Arial" w:cs="Arial"/>
        </w:rPr>
        <w:t xml:space="preserve">Alcaldía Mayor de Bogotá </w:t>
      </w:r>
      <w:r w:rsidR="005B4863" w:rsidRPr="00283D5A">
        <w:rPr>
          <w:rFonts w:ascii="Arial" w:hAnsi="Arial" w:cs="Arial"/>
        </w:rPr>
        <w:t xml:space="preserve">D.C., </w:t>
      </w:r>
      <w:r w:rsidR="009332F8" w:rsidRPr="00283D5A">
        <w:rPr>
          <w:rFonts w:ascii="Arial" w:hAnsi="Arial" w:cs="Arial"/>
        </w:rPr>
        <w:t xml:space="preserve">emitió </w:t>
      </w:r>
      <w:r w:rsidR="001F19BA" w:rsidRPr="00283D5A">
        <w:rPr>
          <w:rFonts w:ascii="Arial" w:hAnsi="Arial" w:cs="Arial"/>
        </w:rPr>
        <w:t>el Decreto 387</w:t>
      </w:r>
      <w:r w:rsidR="005B4863" w:rsidRPr="00283D5A">
        <w:rPr>
          <w:rFonts w:ascii="Arial" w:hAnsi="Arial" w:cs="Arial"/>
        </w:rPr>
        <w:t xml:space="preserve"> de 2004 por medio del cual </w:t>
      </w:r>
      <w:r w:rsidR="008942BF" w:rsidRPr="00283D5A">
        <w:rPr>
          <w:rFonts w:ascii="Arial" w:hAnsi="Arial" w:cs="Arial"/>
        </w:rPr>
        <w:t>reglament</w:t>
      </w:r>
      <w:r w:rsidR="00CC6530" w:rsidRPr="00283D5A">
        <w:rPr>
          <w:rFonts w:ascii="Arial" w:hAnsi="Arial" w:cs="Arial"/>
        </w:rPr>
        <w:t>ó</w:t>
      </w:r>
      <w:r w:rsidR="008942BF" w:rsidRPr="00283D5A">
        <w:rPr>
          <w:rFonts w:ascii="Arial" w:hAnsi="Arial" w:cs="Arial"/>
        </w:rPr>
        <w:t xml:space="preserve"> el acuerdo anterior, </w:t>
      </w:r>
      <w:r w:rsidR="00CC6530" w:rsidRPr="00283D5A">
        <w:rPr>
          <w:rFonts w:ascii="Arial" w:hAnsi="Arial" w:cs="Arial"/>
        </w:rPr>
        <w:t>fijando</w:t>
      </w:r>
      <w:r w:rsidR="008942BF" w:rsidRPr="00283D5A">
        <w:rPr>
          <w:rFonts w:ascii="Arial" w:hAnsi="Arial" w:cs="Arial"/>
        </w:rPr>
        <w:t xml:space="preserve"> </w:t>
      </w:r>
      <w:r w:rsidR="00AA45F3" w:rsidRPr="00283D5A">
        <w:rPr>
          <w:rFonts w:ascii="Arial" w:hAnsi="Arial" w:cs="Arial"/>
        </w:rPr>
        <w:t xml:space="preserve">el </w:t>
      </w:r>
      <w:r w:rsidR="00922DE4" w:rsidRPr="00283D5A">
        <w:rPr>
          <w:rFonts w:ascii="Arial" w:hAnsi="Arial" w:cs="Arial"/>
        </w:rPr>
        <w:t>á</w:t>
      </w:r>
      <w:r w:rsidR="00AA45F3" w:rsidRPr="00283D5A">
        <w:rPr>
          <w:rFonts w:ascii="Arial" w:hAnsi="Arial" w:cs="Arial"/>
        </w:rPr>
        <w:t xml:space="preserve">mbito de aplicación, </w:t>
      </w:r>
      <w:r w:rsidR="00516F9C" w:rsidRPr="00283D5A">
        <w:rPr>
          <w:rFonts w:ascii="Arial" w:hAnsi="Arial" w:cs="Arial"/>
        </w:rPr>
        <w:t>complementariedad</w:t>
      </w:r>
      <w:r w:rsidR="00AA45F3" w:rsidRPr="00283D5A">
        <w:rPr>
          <w:rFonts w:ascii="Arial" w:hAnsi="Arial" w:cs="Arial"/>
        </w:rPr>
        <w:t xml:space="preserve"> del sistema, desarrollo e implementación, coordinación, certificación de calidad, disposiciones aplicables y </w:t>
      </w:r>
      <w:r w:rsidR="006F45E4" w:rsidRPr="00283D5A">
        <w:rPr>
          <w:rFonts w:ascii="Arial" w:hAnsi="Arial" w:cs="Arial"/>
        </w:rPr>
        <w:t xml:space="preserve">la </w:t>
      </w:r>
      <w:r w:rsidR="00AA45F3" w:rsidRPr="00283D5A">
        <w:rPr>
          <w:rFonts w:ascii="Arial" w:hAnsi="Arial" w:cs="Arial"/>
        </w:rPr>
        <w:t>articulación con el Sistema Distrital de Control Interno de las entidades distritales</w:t>
      </w:r>
      <w:r w:rsidR="0083028D" w:rsidRPr="00283D5A">
        <w:rPr>
          <w:rFonts w:ascii="Arial" w:hAnsi="Arial" w:cs="Arial"/>
        </w:rPr>
        <w:t>.</w:t>
      </w:r>
    </w:p>
    <w:p w14:paraId="778971FD" w14:textId="77777777" w:rsidR="00922DE4" w:rsidRPr="00283D5A" w:rsidRDefault="00922DE4" w:rsidP="00922DE4">
      <w:pPr>
        <w:pStyle w:val="Sinespaciado"/>
        <w:jc w:val="both"/>
        <w:rPr>
          <w:rFonts w:ascii="Arial" w:hAnsi="Arial" w:cs="Arial"/>
        </w:rPr>
      </w:pPr>
    </w:p>
    <w:p w14:paraId="74CD840E" w14:textId="1AF61CA6" w:rsidR="00663C58" w:rsidRPr="00283D5A" w:rsidRDefault="00F61A85" w:rsidP="00663C58">
      <w:pPr>
        <w:pStyle w:val="Sinespaciado"/>
        <w:jc w:val="both"/>
        <w:rPr>
          <w:rFonts w:ascii="Arial" w:hAnsi="Arial" w:cs="Arial"/>
        </w:rPr>
      </w:pPr>
      <w:r w:rsidRPr="00283D5A">
        <w:rPr>
          <w:rFonts w:ascii="Arial" w:hAnsi="Arial" w:cs="Arial"/>
        </w:rPr>
        <w:t xml:space="preserve">Una vez </w:t>
      </w:r>
      <w:r w:rsidR="0083028D" w:rsidRPr="00283D5A">
        <w:rPr>
          <w:rFonts w:ascii="Arial" w:hAnsi="Arial" w:cs="Arial"/>
        </w:rPr>
        <w:t>implantado</w:t>
      </w:r>
      <w:r w:rsidR="005333DC" w:rsidRPr="00283D5A">
        <w:rPr>
          <w:rFonts w:ascii="Arial" w:hAnsi="Arial" w:cs="Arial"/>
        </w:rPr>
        <w:t>s</w:t>
      </w:r>
      <w:r w:rsidR="0083028D" w:rsidRPr="00283D5A">
        <w:rPr>
          <w:rFonts w:ascii="Arial" w:hAnsi="Arial" w:cs="Arial"/>
        </w:rPr>
        <w:t xml:space="preserve"> los sistemas de gestión en</w:t>
      </w:r>
      <w:r w:rsidR="00A6637A" w:rsidRPr="00283D5A">
        <w:rPr>
          <w:rFonts w:ascii="Arial" w:hAnsi="Arial" w:cs="Arial"/>
        </w:rPr>
        <w:t xml:space="preserve"> las entidades del orden nacional y territorial, </w:t>
      </w:r>
      <w:r w:rsidR="004A3D28" w:rsidRPr="00283D5A">
        <w:rPr>
          <w:rFonts w:ascii="Arial" w:hAnsi="Arial" w:cs="Arial"/>
        </w:rPr>
        <w:t xml:space="preserve">el gobierno, en el marco de </w:t>
      </w:r>
      <w:r w:rsidR="004B5841" w:rsidRPr="00283D5A">
        <w:rPr>
          <w:rFonts w:ascii="Arial" w:hAnsi="Arial" w:cs="Arial"/>
        </w:rPr>
        <w:t xml:space="preserve">La </w:t>
      </w:r>
      <w:r w:rsidR="00513F0E" w:rsidRPr="00283D5A">
        <w:rPr>
          <w:rFonts w:ascii="Arial" w:hAnsi="Arial" w:cs="Arial"/>
        </w:rPr>
        <w:t xml:space="preserve">Ley 872 de 2003, reglamenta </w:t>
      </w:r>
      <w:r w:rsidR="00CE435F" w:rsidRPr="00283D5A">
        <w:rPr>
          <w:rFonts w:ascii="Arial" w:hAnsi="Arial" w:cs="Arial"/>
        </w:rPr>
        <w:t>con</w:t>
      </w:r>
      <w:r w:rsidR="00513F0E" w:rsidRPr="00283D5A">
        <w:rPr>
          <w:rFonts w:ascii="Arial" w:hAnsi="Arial" w:cs="Arial"/>
        </w:rPr>
        <w:t xml:space="preserve"> el Decreto </w:t>
      </w:r>
      <w:r w:rsidR="00180FE9" w:rsidRPr="00283D5A">
        <w:rPr>
          <w:rFonts w:ascii="Arial" w:hAnsi="Arial" w:cs="Arial"/>
        </w:rPr>
        <w:t xml:space="preserve">Nacional </w:t>
      </w:r>
      <w:r w:rsidR="00513F0E" w:rsidRPr="00283D5A">
        <w:rPr>
          <w:rFonts w:ascii="Arial" w:hAnsi="Arial" w:cs="Arial"/>
        </w:rPr>
        <w:t xml:space="preserve">4110 de </w:t>
      </w:r>
      <w:r w:rsidR="008D5126" w:rsidRPr="00283D5A">
        <w:rPr>
          <w:rFonts w:ascii="Arial" w:hAnsi="Arial" w:cs="Arial"/>
        </w:rPr>
        <w:t>2004,</w:t>
      </w:r>
      <w:r w:rsidR="00E25700" w:rsidRPr="00283D5A">
        <w:rPr>
          <w:rFonts w:ascii="Arial" w:hAnsi="Arial" w:cs="Arial"/>
        </w:rPr>
        <w:t xml:space="preserve"> </w:t>
      </w:r>
      <w:r w:rsidR="005C06E7" w:rsidRPr="00283D5A">
        <w:rPr>
          <w:rFonts w:ascii="Arial" w:hAnsi="Arial" w:cs="Arial"/>
        </w:rPr>
        <w:t>y</w:t>
      </w:r>
      <w:r w:rsidR="00A360E7" w:rsidRPr="00283D5A">
        <w:rPr>
          <w:rFonts w:ascii="Arial" w:hAnsi="Arial" w:cs="Arial"/>
        </w:rPr>
        <w:t xml:space="preserve"> </w:t>
      </w:r>
      <w:r w:rsidR="00E25700" w:rsidRPr="00283D5A">
        <w:rPr>
          <w:rFonts w:ascii="Arial" w:hAnsi="Arial" w:cs="Arial"/>
        </w:rPr>
        <w:t>adopt</w:t>
      </w:r>
      <w:r w:rsidR="00EE1DC3" w:rsidRPr="00283D5A">
        <w:rPr>
          <w:rFonts w:ascii="Arial" w:hAnsi="Arial" w:cs="Arial"/>
        </w:rPr>
        <w:t>ó</w:t>
      </w:r>
      <w:r w:rsidR="00E25700" w:rsidRPr="00283D5A">
        <w:rPr>
          <w:rFonts w:ascii="Arial" w:hAnsi="Arial" w:cs="Arial"/>
        </w:rPr>
        <w:t xml:space="preserve"> la Norma Técnica de Calidad en la Gestión Pública</w:t>
      </w:r>
      <w:r w:rsidR="00E8394C" w:rsidRPr="00283D5A">
        <w:rPr>
          <w:rFonts w:ascii="Arial" w:hAnsi="Arial" w:cs="Arial"/>
        </w:rPr>
        <w:t xml:space="preserve"> NTCGP 1000:2004</w:t>
      </w:r>
      <w:r w:rsidR="0076249E" w:rsidRPr="00283D5A">
        <w:rPr>
          <w:rFonts w:ascii="Arial" w:hAnsi="Arial" w:cs="Arial"/>
        </w:rPr>
        <w:t>, en la búsqueda de la estand</w:t>
      </w:r>
      <w:r w:rsidR="00E72A8A" w:rsidRPr="00283D5A">
        <w:rPr>
          <w:rFonts w:ascii="Arial" w:hAnsi="Arial" w:cs="Arial"/>
        </w:rPr>
        <w:t>ar</w:t>
      </w:r>
      <w:r w:rsidR="0076249E" w:rsidRPr="00283D5A">
        <w:rPr>
          <w:rFonts w:ascii="Arial" w:hAnsi="Arial" w:cs="Arial"/>
        </w:rPr>
        <w:t xml:space="preserve">ización y </w:t>
      </w:r>
      <w:r w:rsidR="00E72A8A" w:rsidRPr="00283D5A">
        <w:rPr>
          <w:rFonts w:ascii="Arial" w:hAnsi="Arial" w:cs="Arial"/>
        </w:rPr>
        <w:t xml:space="preserve">aplicabilidad de </w:t>
      </w:r>
      <w:r w:rsidR="006F3E87" w:rsidRPr="00283D5A">
        <w:rPr>
          <w:rFonts w:ascii="Arial" w:hAnsi="Arial" w:cs="Arial"/>
        </w:rPr>
        <w:t>su conceptos y operación</w:t>
      </w:r>
      <w:r w:rsidR="0043702D" w:rsidRPr="00283D5A">
        <w:rPr>
          <w:rFonts w:ascii="Arial" w:hAnsi="Arial" w:cs="Arial"/>
        </w:rPr>
        <w:t>.</w:t>
      </w:r>
      <w:r w:rsidR="006C4A4A" w:rsidRPr="00283D5A">
        <w:rPr>
          <w:rFonts w:ascii="Arial" w:hAnsi="Arial" w:cs="Arial"/>
        </w:rPr>
        <w:t xml:space="preserve"> En este</w:t>
      </w:r>
      <w:r w:rsidR="00970397" w:rsidRPr="00283D5A">
        <w:rPr>
          <w:rFonts w:ascii="Arial" w:hAnsi="Arial" w:cs="Arial"/>
        </w:rPr>
        <w:t xml:space="preserve"> mismo sentido se </w:t>
      </w:r>
      <w:r w:rsidR="009342D6" w:rsidRPr="00283D5A">
        <w:rPr>
          <w:rFonts w:ascii="Arial" w:hAnsi="Arial" w:cs="Arial"/>
        </w:rPr>
        <w:t xml:space="preserve">expide la </w:t>
      </w:r>
      <w:r w:rsidR="00702191" w:rsidRPr="00283D5A">
        <w:rPr>
          <w:rFonts w:ascii="Arial" w:hAnsi="Arial" w:cs="Arial"/>
        </w:rPr>
        <w:t>Ley 1599 de 2005</w:t>
      </w:r>
      <w:r w:rsidR="009342D6" w:rsidRPr="00283D5A">
        <w:rPr>
          <w:rFonts w:ascii="Arial" w:hAnsi="Arial" w:cs="Arial"/>
        </w:rPr>
        <w:t>, que reglamenta el</w:t>
      </w:r>
      <w:r w:rsidR="00607506" w:rsidRPr="00283D5A">
        <w:rPr>
          <w:rFonts w:ascii="Arial" w:hAnsi="Arial" w:cs="Arial"/>
        </w:rPr>
        <w:t xml:space="preserve"> Modelo Estándar de Control Interno (MECI)</w:t>
      </w:r>
      <w:r w:rsidR="00081D4C" w:rsidRPr="00283D5A">
        <w:rPr>
          <w:rFonts w:ascii="Arial" w:hAnsi="Arial" w:cs="Arial"/>
        </w:rPr>
        <w:t>.</w:t>
      </w:r>
      <w:r w:rsidR="009342D6" w:rsidRPr="00283D5A">
        <w:rPr>
          <w:rFonts w:ascii="Arial" w:hAnsi="Arial" w:cs="Arial"/>
        </w:rPr>
        <w:t xml:space="preserve"> </w:t>
      </w:r>
      <w:r w:rsidR="001638DD" w:rsidRPr="00283D5A">
        <w:rPr>
          <w:rFonts w:ascii="Arial" w:hAnsi="Arial" w:cs="Arial"/>
        </w:rPr>
        <w:t xml:space="preserve">En su efecto, el gobierno distrital, mediante el </w:t>
      </w:r>
      <w:r w:rsidR="001638DD" w:rsidRPr="00283D5A">
        <w:rPr>
          <w:rFonts w:ascii="Arial" w:hAnsi="Arial" w:cs="Arial"/>
        </w:rPr>
        <w:lastRenderedPageBreak/>
        <w:t>Decreto 652 de 2011 adoptó la Norma Técnica Distrital del Sistema Integrado de Gestión para las entidades y organismos distritales, NTD – SIG 001:2011, que determina las generalidades y los requisitos mínimos para establecer, documentar, implementar y mantener un Sistema Integrado de Gestión en las entidades y organismos distritales y agentes obligados.</w:t>
      </w:r>
    </w:p>
    <w:p w14:paraId="601053C5" w14:textId="4F76F060" w:rsidR="00DA39EA" w:rsidRPr="00283D5A" w:rsidRDefault="00DA39EA" w:rsidP="00922DE4">
      <w:pPr>
        <w:pStyle w:val="Sinespaciado"/>
        <w:jc w:val="both"/>
        <w:rPr>
          <w:rFonts w:ascii="Arial" w:hAnsi="Arial" w:cs="Arial"/>
        </w:rPr>
      </w:pPr>
    </w:p>
    <w:p w14:paraId="265FF519" w14:textId="5991FB74" w:rsidR="00DE4D36" w:rsidRPr="00283D5A" w:rsidRDefault="00752985" w:rsidP="00F872FD">
      <w:pPr>
        <w:pStyle w:val="Sinespaciado"/>
        <w:jc w:val="both"/>
        <w:rPr>
          <w:rFonts w:ascii="Arial" w:hAnsi="Arial" w:cs="Arial"/>
        </w:rPr>
      </w:pPr>
      <w:r w:rsidRPr="00283D5A">
        <w:rPr>
          <w:rFonts w:ascii="Arial" w:hAnsi="Arial" w:cs="Arial"/>
        </w:rPr>
        <w:t>En este</w:t>
      </w:r>
      <w:r w:rsidR="00E75BBF" w:rsidRPr="00283D5A">
        <w:rPr>
          <w:rFonts w:ascii="Arial" w:hAnsi="Arial" w:cs="Arial"/>
        </w:rPr>
        <w:t xml:space="preserve"> orden, el gobierno distrital acoge y adopta </w:t>
      </w:r>
      <w:r w:rsidR="001F095A" w:rsidRPr="00283D5A">
        <w:rPr>
          <w:rFonts w:ascii="Arial" w:hAnsi="Arial" w:cs="Arial"/>
        </w:rPr>
        <w:t xml:space="preserve">MIPG, mediante el </w:t>
      </w:r>
      <w:r w:rsidR="00F83561" w:rsidRPr="00283D5A">
        <w:rPr>
          <w:rFonts w:ascii="Arial" w:hAnsi="Arial" w:cs="Arial"/>
        </w:rPr>
        <w:t>Decreto Distrital 591 de 2018</w:t>
      </w:r>
      <w:r w:rsidR="001F095A" w:rsidRPr="00283D5A">
        <w:rPr>
          <w:rFonts w:ascii="Arial" w:hAnsi="Arial" w:cs="Arial"/>
        </w:rPr>
        <w:t xml:space="preserve"> y lo reglamenta </w:t>
      </w:r>
      <w:r w:rsidR="000F5BE1" w:rsidRPr="00283D5A">
        <w:rPr>
          <w:rFonts w:ascii="Arial" w:hAnsi="Arial" w:cs="Arial"/>
        </w:rPr>
        <w:t xml:space="preserve">con el </w:t>
      </w:r>
      <w:r w:rsidR="00F83561" w:rsidRPr="00283D5A">
        <w:rPr>
          <w:rFonts w:ascii="Arial" w:hAnsi="Arial" w:cs="Arial"/>
        </w:rPr>
        <w:t>Decreto Distrital 807 de 2019</w:t>
      </w:r>
      <w:r w:rsidR="000F5BE1" w:rsidRPr="00283D5A">
        <w:rPr>
          <w:rFonts w:ascii="Arial" w:hAnsi="Arial" w:cs="Arial"/>
        </w:rPr>
        <w:t xml:space="preserve">, </w:t>
      </w:r>
      <w:r w:rsidR="00826485" w:rsidRPr="00283D5A">
        <w:rPr>
          <w:rFonts w:ascii="Arial" w:hAnsi="Arial" w:cs="Arial"/>
        </w:rPr>
        <w:t>estableciendo</w:t>
      </w:r>
      <w:r w:rsidR="002F227E" w:rsidRPr="00283D5A">
        <w:rPr>
          <w:rFonts w:ascii="Arial" w:hAnsi="Arial" w:cs="Arial"/>
        </w:rPr>
        <w:t xml:space="preserve"> </w:t>
      </w:r>
      <w:r w:rsidR="00357140" w:rsidRPr="00283D5A">
        <w:rPr>
          <w:rFonts w:ascii="Arial" w:hAnsi="Arial" w:cs="Arial"/>
        </w:rPr>
        <w:t xml:space="preserve">el Sistema de Gestión en el Distrito Capital </w:t>
      </w:r>
      <w:r w:rsidR="00F872FD" w:rsidRPr="00283D5A">
        <w:rPr>
          <w:rFonts w:ascii="Arial" w:hAnsi="Arial" w:cs="Arial"/>
        </w:rPr>
        <w:t>como un mecanismo que facilita la integración y articulación entre el sistema de gestión y el sistema de control interno, y que constituye el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r w:rsidR="008E4A57" w:rsidRPr="00283D5A">
        <w:rPr>
          <w:rFonts w:ascii="Arial" w:hAnsi="Arial" w:cs="Arial"/>
        </w:rPr>
        <w:t xml:space="preserve"> </w:t>
      </w:r>
      <w:r w:rsidR="004929E5" w:rsidRPr="00283D5A">
        <w:rPr>
          <w:rFonts w:ascii="Arial" w:hAnsi="Arial" w:cs="Arial"/>
        </w:rPr>
        <w:t>Deroga los decretos distritales 387 de 2004</w:t>
      </w:r>
      <w:r w:rsidR="00FC7FD5" w:rsidRPr="00283D5A">
        <w:rPr>
          <w:rFonts w:ascii="Arial" w:hAnsi="Arial" w:cs="Arial"/>
        </w:rPr>
        <w:t xml:space="preserve"> y 652 de 2011</w:t>
      </w:r>
    </w:p>
    <w:p w14:paraId="5FC22555" w14:textId="77777777" w:rsidR="00206AEB" w:rsidRPr="00283D5A" w:rsidRDefault="00206AEB" w:rsidP="00922DE4">
      <w:pPr>
        <w:pStyle w:val="Sinespaciado"/>
        <w:jc w:val="both"/>
        <w:rPr>
          <w:rFonts w:ascii="Arial" w:hAnsi="Arial" w:cs="Arial"/>
        </w:rPr>
      </w:pPr>
    </w:p>
    <w:p w14:paraId="2BE3C7BF" w14:textId="79A36496" w:rsidR="00DA39EA" w:rsidRPr="00283D5A" w:rsidRDefault="000B05C5" w:rsidP="00922DE4">
      <w:pPr>
        <w:pStyle w:val="Sinespaciado"/>
        <w:jc w:val="both"/>
        <w:rPr>
          <w:rFonts w:ascii="Arial" w:hAnsi="Arial" w:cs="Arial"/>
        </w:rPr>
      </w:pPr>
      <w:r w:rsidRPr="00283D5A">
        <w:rPr>
          <w:rFonts w:ascii="Arial" w:hAnsi="Arial" w:cs="Arial"/>
        </w:rPr>
        <w:t xml:space="preserve">De manera paralela, </w:t>
      </w:r>
      <w:r w:rsidR="009B0E1E" w:rsidRPr="00283D5A">
        <w:rPr>
          <w:rFonts w:ascii="Arial" w:hAnsi="Arial" w:cs="Arial"/>
        </w:rPr>
        <w:t>durante los últimos 2</w:t>
      </w:r>
      <w:r w:rsidR="00D74537" w:rsidRPr="00283D5A">
        <w:rPr>
          <w:rFonts w:ascii="Arial" w:hAnsi="Arial" w:cs="Arial"/>
        </w:rPr>
        <w:t>5</w:t>
      </w:r>
      <w:r w:rsidR="009B0E1E" w:rsidRPr="00283D5A">
        <w:rPr>
          <w:rFonts w:ascii="Arial" w:hAnsi="Arial" w:cs="Arial"/>
        </w:rPr>
        <w:t xml:space="preserve"> años, </w:t>
      </w:r>
      <w:r w:rsidRPr="00283D5A">
        <w:rPr>
          <w:rFonts w:ascii="Arial" w:hAnsi="Arial" w:cs="Arial"/>
        </w:rPr>
        <w:t>la</w:t>
      </w:r>
      <w:r w:rsidR="00FF623B" w:rsidRPr="00283D5A">
        <w:rPr>
          <w:rFonts w:ascii="Arial" w:hAnsi="Arial" w:cs="Arial"/>
        </w:rPr>
        <w:t>s diferentes administraciones distritales</w:t>
      </w:r>
      <w:r w:rsidR="00622FE8" w:rsidRPr="00283D5A">
        <w:rPr>
          <w:rFonts w:ascii="Arial" w:hAnsi="Arial" w:cs="Arial"/>
        </w:rPr>
        <w:t>,</w:t>
      </w:r>
      <w:r w:rsidR="00FF623B" w:rsidRPr="00283D5A">
        <w:rPr>
          <w:rFonts w:ascii="Arial" w:hAnsi="Arial" w:cs="Arial"/>
        </w:rPr>
        <w:t xml:space="preserve"> </w:t>
      </w:r>
      <w:r w:rsidR="00284368" w:rsidRPr="00283D5A">
        <w:rPr>
          <w:rFonts w:ascii="Arial" w:hAnsi="Arial" w:cs="Arial"/>
        </w:rPr>
        <w:t xml:space="preserve">con base </w:t>
      </w:r>
      <w:r w:rsidR="00FF623B" w:rsidRPr="00283D5A">
        <w:rPr>
          <w:rFonts w:ascii="Arial" w:hAnsi="Arial" w:cs="Arial"/>
        </w:rPr>
        <w:t xml:space="preserve">en </w:t>
      </w:r>
      <w:r w:rsidR="005617A2" w:rsidRPr="00283D5A">
        <w:rPr>
          <w:rFonts w:ascii="Arial" w:hAnsi="Arial" w:cs="Arial"/>
        </w:rPr>
        <w:t>sus planes programáticos</w:t>
      </w:r>
      <w:r w:rsidR="00F51D8D" w:rsidRPr="00283D5A">
        <w:rPr>
          <w:rFonts w:ascii="Arial" w:hAnsi="Arial" w:cs="Arial"/>
        </w:rPr>
        <w:t xml:space="preserve"> y en concordancia con la nueva Ley Orgánica del Plan de Desarrollo, Ley 152 de 1994</w:t>
      </w:r>
      <w:r w:rsidR="00B7442E" w:rsidRPr="00283D5A">
        <w:rPr>
          <w:rFonts w:ascii="Arial" w:hAnsi="Arial" w:cs="Arial"/>
        </w:rPr>
        <w:t>,</w:t>
      </w:r>
      <w:r w:rsidR="002D4058" w:rsidRPr="00283D5A">
        <w:rPr>
          <w:rFonts w:ascii="Arial" w:hAnsi="Arial" w:cs="Arial"/>
        </w:rPr>
        <w:t xml:space="preserve"> continu</w:t>
      </w:r>
      <w:r w:rsidR="004630C0" w:rsidRPr="00283D5A">
        <w:rPr>
          <w:rFonts w:ascii="Arial" w:hAnsi="Arial" w:cs="Arial"/>
        </w:rPr>
        <w:t>ó</w:t>
      </w:r>
      <w:r w:rsidR="002D4058" w:rsidRPr="00283D5A">
        <w:rPr>
          <w:rFonts w:ascii="Arial" w:hAnsi="Arial" w:cs="Arial"/>
        </w:rPr>
        <w:t xml:space="preserve"> priorizando en sus planes dis</w:t>
      </w:r>
      <w:r w:rsidR="00C65ED3" w:rsidRPr="00283D5A">
        <w:rPr>
          <w:rFonts w:ascii="Arial" w:hAnsi="Arial" w:cs="Arial"/>
        </w:rPr>
        <w:t xml:space="preserve">tritales </w:t>
      </w:r>
      <w:r w:rsidR="002D4058" w:rsidRPr="00283D5A">
        <w:rPr>
          <w:rFonts w:ascii="Arial" w:hAnsi="Arial" w:cs="Arial"/>
        </w:rPr>
        <w:t>de desarrollo</w:t>
      </w:r>
      <w:r w:rsidR="006206A5" w:rsidRPr="00283D5A">
        <w:rPr>
          <w:rFonts w:ascii="Arial" w:hAnsi="Arial" w:cs="Arial"/>
        </w:rPr>
        <w:t xml:space="preserve">, </w:t>
      </w:r>
      <w:r w:rsidR="00C65ED3" w:rsidRPr="00283D5A">
        <w:rPr>
          <w:rFonts w:ascii="Arial" w:hAnsi="Arial" w:cs="Arial"/>
        </w:rPr>
        <w:t>la</w:t>
      </w:r>
      <w:r w:rsidR="00A0405D" w:rsidRPr="00283D5A">
        <w:rPr>
          <w:rFonts w:ascii="Arial" w:hAnsi="Arial" w:cs="Arial"/>
        </w:rPr>
        <w:t xml:space="preserve"> inclusión de estrategias</w:t>
      </w:r>
      <w:r w:rsidR="002A050C" w:rsidRPr="00283D5A">
        <w:rPr>
          <w:rFonts w:ascii="Arial" w:hAnsi="Arial" w:cs="Arial"/>
        </w:rPr>
        <w:t xml:space="preserve">, programas, planes y proyectos </w:t>
      </w:r>
      <w:r w:rsidR="005866C6" w:rsidRPr="00283D5A">
        <w:rPr>
          <w:rFonts w:ascii="Arial" w:hAnsi="Arial" w:cs="Arial"/>
        </w:rPr>
        <w:t xml:space="preserve">que </w:t>
      </w:r>
      <w:r w:rsidR="00453C72" w:rsidRPr="00283D5A">
        <w:rPr>
          <w:rFonts w:ascii="Arial" w:hAnsi="Arial" w:cs="Arial"/>
        </w:rPr>
        <w:t>han permitido</w:t>
      </w:r>
      <w:r w:rsidR="005866C6" w:rsidRPr="00283D5A">
        <w:rPr>
          <w:rFonts w:ascii="Arial" w:hAnsi="Arial" w:cs="Arial"/>
        </w:rPr>
        <w:t xml:space="preserve"> </w:t>
      </w:r>
      <w:r w:rsidR="00326787" w:rsidRPr="00283D5A">
        <w:rPr>
          <w:rFonts w:ascii="Arial" w:hAnsi="Arial" w:cs="Arial"/>
        </w:rPr>
        <w:t xml:space="preserve">ir adelantado </w:t>
      </w:r>
      <w:r w:rsidR="00A17A80" w:rsidRPr="00283D5A">
        <w:rPr>
          <w:rFonts w:ascii="Arial" w:hAnsi="Arial" w:cs="Arial"/>
        </w:rPr>
        <w:t xml:space="preserve">la modernización y </w:t>
      </w:r>
      <w:r w:rsidR="005866C6" w:rsidRPr="00283D5A">
        <w:rPr>
          <w:rFonts w:ascii="Arial" w:hAnsi="Arial" w:cs="Arial"/>
        </w:rPr>
        <w:t>fortalec</w:t>
      </w:r>
      <w:r w:rsidR="00A17A80" w:rsidRPr="00283D5A">
        <w:rPr>
          <w:rFonts w:ascii="Arial" w:hAnsi="Arial" w:cs="Arial"/>
        </w:rPr>
        <w:t xml:space="preserve">imiento del </w:t>
      </w:r>
      <w:r w:rsidR="000B47FB" w:rsidRPr="00283D5A">
        <w:rPr>
          <w:rFonts w:ascii="Arial" w:hAnsi="Arial" w:cs="Arial"/>
        </w:rPr>
        <w:t>desarrollo de administrativo de</w:t>
      </w:r>
      <w:r w:rsidR="00E562C6" w:rsidRPr="00283D5A">
        <w:rPr>
          <w:rFonts w:ascii="Arial" w:hAnsi="Arial" w:cs="Arial"/>
        </w:rPr>
        <w:t xml:space="preserve">l servicio público </w:t>
      </w:r>
      <w:r w:rsidR="00E35A2E" w:rsidRPr="00283D5A">
        <w:rPr>
          <w:rFonts w:ascii="Arial" w:hAnsi="Arial" w:cs="Arial"/>
        </w:rPr>
        <w:t>a través de</w:t>
      </w:r>
      <w:r w:rsidR="00E43A59" w:rsidRPr="00283D5A">
        <w:rPr>
          <w:rFonts w:ascii="Arial" w:hAnsi="Arial" w:cs="Arial"/>
        </w:rPr>
        <w:t xml:space="preserve"> </w:t>
      </w:r>
      <w:r w:rsidR="00E35A2E" w:rsidRPr="00283D5A">
        <w:rPr>
          <w:rFonts w:ascii="Arial" w:hAnsi="Arial" w:cs="Arial"/>
        </w:rPr>
        <w:t>los sistemas de gestión</w:t>
      </w:r>
      <w:r w:rsidR="00E43A59" w:rsidRPr="00283D5A">
        <w:rPr>
          <w:rFonts w:ascii="Arial" w:hAnsi="Arial" w:cs="Arial"/>
        </w:rPr>
        <w:t>.</w:t>
      </w:r>
    </w:p>
    <w:p w14:paraId="0D2BDC29" w14:textId="1E2CDDEC" w:rsidR="00702191" w:rsidRPr="00283D5A" w:rsidRDefault="00702191" w:rsidP="00922DE4">
      <w:pPr>
        <w:pStyle w:val="Sinespaciado"/>
        <w:jc w:val="both"/>
        <w:rPr>
          <w:rFonts w:ascii="Arial" w:hAnsi="Arial" w:cs="Arial"/>
        </w:rPr>
      </w:pPr>
    </w:p>
    <w:p w14:paraId="159D5679" w14:textId="4A387391" w:rsidR="00E1407A" w:rsidRPr="00283D5A" w:rsidRDefault="00E1407A" w:rsidP="00922DE4">
      <w:pPr>
        <w:pStyle w:val="Sinespaciado"/>
        <w:jc w:val="both"/>
        <w:rPr>
          <w:rFonts w:ascii="Arial" w:hAnsi="Arial" w:cs="Arial"/>
        </w:rPr>
      </w:pPr>
      <w:r w:rsidRPr="00283D5A">
        <w:rPr>
          <w:rFonts w:ascii="Arial" w:hAnsi="Arial" w:cs="Arial"/>
        </w:rPr>
        <w:t xml:space="preserve">Con esto se avizoró los primeros indicios </w:t>
      </w:r>
      <w:r w:rsidR="00415885" w:rsidRPr="00283D5A">
        <w:rPr>
          <w:rFonts w:ascii="Arial" w:hAnsi="Arial" w:cs="Arial"/>
        </w:rPr>
        <w:t>y cont</w:t>
      </w:r>
      <w:r w:rsidR="00CD4BC0" w:rsidRPr="00283D5A">
        <w:rPr>
          <w:rFonts w:ascii="Arial" w:hAnsi="Arial" w:cs="Arial"/>
        </w:rPr>
        <w:t xml:space="preserve">inuidad en la </w:t>
      </w:r>
      <w:r w:rsidRPr="00283D5A">
        <w:rPr>
          <w:rFonts w:ascii="Arial" w:hAnsi="Arial" w:cs="Arial"/>
        </w:rPr>
        <w:t>aplicabilidad de los sistemas de gestión</w:t>
      </w:r>
      <w:r w:rsidR="00415885" w:rsidRPr="00283D5A">
        <w:rPr>
          <w:rFonts w:ascii="Arial" w:hAnsi="Arial" w:cs="Arial"/>
        </w:rPr>
        <w:t>:</w:t>
      </w:r>
    </w:p>
    <w:p w14:paraId="22CE5C2E" w14:textId="0B6F624A" w:rsidR="006F55A7" w:rsidRPr="00283D5A" w:rsidRDefault="005E45E9" w:rsidP="00F14CD9">
      <w:pPr>
        <w:pStyle w:val="Sinespaciado"/>
        <w:numPr>
          <w:ilvl w:val="0"/>
          <w:numId w:val="25"/>
        </w:numPr>
        <w:jc w:val="both"/>
        <w:rPr>
          <w:rFonts w:ascii="Arial" w:hAnsi="Arial" w:cs="Arial"/>
        </w:rPr>
      </w:pPr>
      <w:r w:rsidRPr="00283D5A">
        <w:rPr>
          <w:rFonts w:ascii="Arial" w:hAnsi="Arial" w:cs="Arial"/>
          <w:noProof/>
          <w:lang w:eastAsia="es-CO"/>
        </w:rPr>
        <w:drawing>
          <wp:inline distT="0" distB="0" distL="0" distR="0" wp14:anchorId="3BC419D0" wp14:editId="2DAF33FE">
            <wp:extent cx="576313" cy="3273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13" cy="327378"/>
                    </a:xfrm>
                    <a:prstGeom prst="rect">
                      <a:avLst/>
                    </a:prstGeom>
                    <a:noFill/>
                    <a:ln>
                      <a:noFill/>
                    </a:ln>
                  </pic:spPr>
                </pic:pic>
              </a:graphicData>
            </a:graphic>
          </wp:inline>
        </w:drawing>
      </w:r>
      <w:r w:rsidRPr="00283D5A">
        <w:rPr>
          <w:rFonts w:ascii="Arial" w:hAnsi="Arial" w:cs="Arial"/>
        </w:rPr>
        <w:t xml:space="preserve"> </w:t>
      </w:r>
      <w:r w:rsidR="006F55A7" w:rsidRPr="00283D5A">
        <w:rPr>
          <w:rFonts w:ascii="Arial" w:hAnsi="Arial" w:cs="Arial"/>
        </w:rPr>
        <w:t>1995</w:t>
      </w:r>
      <w:r w:rsidR="002511DF" w:rsidRPr="00283D5A">
        <w:rPr>
          <w:rFonts w:ascii="Arial" w:hAnsi="Arial" w:cs="Arial"/>
        </w:rPr>
        <w:t xml:space="preserve"> – 1998 - </w:t>
      </w:r>
      <w:r w:rsidR="008B4821" w:rsidRPr="00283D5A">
        <w:rPr>
          <w:rFonts w:ascii="Arial" w:hAnsi="Arial" w:cs="Arial"/>
        </w:rPr>
        <w:t xml:space="preserve">Plan de Desarrollo Económico Social y de Obras Públicas para Santa Fe de Bogotá, D.C. </w:t>
      </w:r>
      <w:r w:rsidR="001273A7" w:rsidRPr="00283D5A">
        <w:rPr>
          <w:rFonts w:ascii="Arial" w:hAnsi="Arial" w:cs="Arial"/>
          <w:i/>
          <w:iCs/>
        </w:rPr>
        <w:t>FORMAR CIUDAD</w:t>
      </w:r>
      <w:r w:rsidR="00B81D7C" w:rsidRPr="00283D5A">
        <w:rPr>
          <w:rFonts w:ascii="Arial" w:hAnsi="Arial" w:cs="Arial"/>
          <w:i/>
          <w:iCs/>
        </w:rPr>
        <w:t xml:space="preserve">. </w:t>
      </w:r>
      <w:r w:rsidR="00B92345" w:rsidRPr="00283D5A">
        <w:rPr>
          <w:rFonts w:ascii="Arial" w:hAnsi="Arial" w:cs="Arial"/>
          <w:i/>
          <w:iCs/>
        </w:rPr>
        <w:t xml:space="preserve">– </w:t>
      </w:r>
      <w:r w:rsidR="00CF2966" w:rsidRPr="00283D5A">
        <w:rPr>
          <w:rFonts w:ascii="Arial" w:hAnsi="Arial" w:cs="Arial"/>
        </w:rPr>
        <w:t>prioridad</w:t>
      </w:r>
      <w:r w:rsidR="00B92345" w:rsidRPr="00283D5A">
        <w:rPr>
          <w:rFonts w:ascii="Arial" w:hAnsi="Arial" w:cs="Arial"/>
        </w:rPr>
        <w:t xml:space="preserve"> seis</w:t>
      </w:r>
      <w:r w:rsidR="00CF2966" w:rsidRPr="00283D5A">
        <w:rPr>
          <w:rFonts w:ascii="Arial" w:hAnsi="Arial" w:cs="Arial"/>
        </w:rPr>
        <w:t>:</w:t>
      </w:r>
      <w:r w:rsidR="00CF2966" w:rsidRPr="00283D5A">
        <w:rPr>
          <w:rFonts w:ascii="Arial" w:hAnsi="Arial" w:cs="Arial"/>
          <w:i/>
          <w:iCs/>
        </w:rPr>
        <w:t xml:space="preserve"> </w:t>
      </w:r>
      <w:r w:rsidR="00CF2966" w:rsidRPr="00283D5A">
        <w:rPr>
          <w:rFonts w:ascii="Arial" w:hAnsi="Arial" w:cs="Arial"/>
        </w:rPr>
        <w:t>Mejorar la calidad y la oportunidad de acción de la Administración Distrital y generar así credibilidad: legitimidad institucional.</w:t>
      </w:r>
    </w:p>
    <w:p w14:paraId="49FB3F2B" w14:textId="4B74AA8B" w:rsidR="00F14CD9" w:rsidRPr="00283D5A" w:rsidRDefault="005E45E9" w:rsidP="00F14CD9">
      <w:pPr>
        <w:pStyle w:val="Sinespaciado"/>
        <w:numPr>
          <w:ilvl w:val="0"/>
          <w:numId w:val="25"/>
        </w:numPr>
        <w:jc w:val="both"/>
        <w:rPr>
          <w:rFonts w:ascii="Arial" w:hAnsi="Arial" w:cs="Arial"/>
        </w:rPr>
      </w:pPr>
      <w:r w:rsidRPr="00283D5A">
        <w:rPr>
          <w:rFonts w:ascii="Arial" w:hAnsi="Arial" w:cs="Arial"/>
          <w:noProof/>
          <w:lang w:eastAsia="es-CO"/>
        </w:rPr>
        <w:drawing>
          <wp:inline distT="0" distB="0" distL="0" distR="0" wp14:anchorId="6324E6BA" wp14:editId="221CA113">
            <wp:extent cx="327378" cy="3673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378" cy="367346"/>
                    </a:xfrm>
                    <a:prstGeom prst="rect">
                      <a:avLst/>
                    </a:prstGeom>
                    <a:noFill/>
                    <a:ln>
                      <a:noFill/>
                    </a:ln>
                  </pic:spPr>
                </pic:pic>
              </a:graphicData>
            </a:graphic>
          </wp:inline>
        </w:drawing>
      </w:r>
      <w:r w:rsidRPr="00283D5A">
        <w:rPr>
          <w:rFonts w:ascii="Arial" w:hAnsi="Arial" w:cs="Arial"/>
        </w:rPr>
        <w:t xml:space="preserve"> </w:t>
      </w:r>
      <w:r w:rsidR="008E2467" w:rsidRPr="00283D5A">
        <w:rPr>
          <w:rFonts w:ascii="Arial" w:hAnsi="Arial" w:cs="Arial"/>
        </w:rPr>
        <w:t xml:space="preserve"> </w:t>
      </w:r>
      <w:r w:rsidR="00B83AEB" w:rsidRPr="00283D5A">
        <w:rPr>
          <w:rFonts w:ascii="Arial" w:hAnsi="Arial" w:cs="Arial"/>
        </w:rPr>
        <w:t xml:space="preserve">1998 – 2001 </w:t>
      </w:r>
      <w:r w:rsidR="00182414" w:rsidRPr="00283D5A">
        <w:rPr>
          <w:rFonts w:ascii="Arial" w:hAnsi="Arial" w:cs="Arial"/>
        </w:rPr>
        <w:t xml:space="preserve">- </w:t>
      </w:r>
      <w:r w:rsidR="00B83AEB" w:rsidRPr="00283D5A">
        <w:rPr>
          <w:rFonts w:ascii="Arial" w:hAnsi="Arial" w:cs="Arial"/>
        </w:rPr>
        <w:t>Plan de Desarrollo Económico, Social y de Obras Públicas para Santa Fe de Bogotá, D.C., -</w:t>
      </w:r>
      <w:r w:rsidR="00B83AEB" w:rsidRPr="00283D5A">
        <w:rPr>
          <w:rFonts w:ascii="Arial" w:hAnsi="Arial" w:cs="Arial"/>
          <w:i/>
          <w:iCs/>
        </w:rPr>
        <w:t>POR LA BOGOTÁ QUE QUEREMOS</w:t>
      </w:r>
      <w:r w:rsidR="00182414" w:rsidRPr="00283D5A">
        <w:rPr>
          <w:rFonts w:ascii="Arial" w:hAnsi="Arial" w:cs="Arial"/>
        </w:rPr>
        <w:t xml:space="preserve"> </w:t>
      </w:r>
      <w:r w:rsidR="005B3043" w:rsidRPr="00283D5A">
        <w:rPr>
          <w:rFonts w:ascii="Arial" w:hAnsi="Arial" w:cs="Arial"/>
        </w:rPr>
        <w:t>–</w:t>
      </w:r>
      <w:r w:rsidR="00182414" w:rsidRPr="00283D5A">
        <w:rPr>
          <w:rFonts w:ascii="Arial" w:hAnsi="Arial" w:cs="Arial"/>
        </w:rPr>
        <w:t xml:space="preserve"> </w:t>
      </w:r>
      <w:r w:rsidR="005B3043" w:rsidRPr="00283D5A">
        <w:rPr>
          <w:rFonts w:ascii="Arial" w:hAnsi="Arial" w:cs="Arial"/>
        </w:rPr>
        <w:t>P</w:t>
      </w:r>
      <w:r w:rsidR="004949F5" w:rsidRPr="00283D5A">
        <w:rPr>
          <w:rFonts w:ascii="Arial" w:hAnsi="Arial" w:cs="Arial"/>
        </w:rPr>
        <w:t>rioridad</w:t>
      </w:r>
      <w:r w:rsidR="005B3043" w:rsidRPr="00283D5A">
        <w:rPr>
          <w:rFonts w:ascii="Arial" w:hAnsi="Arial" w:cs="Arial"/>
        </w:rPr>
        <w:t xml:space="preserve"> Siete</w:t>
      </w:r>
      <w:r w:rsidR="00A93993" w:rsidRPr="00283D5A">
        <w:rPr>
          <w:rFonts w:ascii="Arial" w:hAnsi="Arial" w:cs="Arial"/>
        </w:rPr>
        <w:t xml:space="preserve">: </w:t>
      </w:r>
      <w:r w:rsidR="004949F5" w:rsidRPr="00283D5A">
        <w:rPr>
          <w:rFonts w:ascii="Arial" w:hAnsi="Arial" w:cs="Arial"/>
        </w:rPr>
        <w:t>La Eficiencia Institucional</w:t>
      </w:r>
      <w:r w:rsidR="00F14CD9" w:rsidRPr="00283D5A">
        <w:rPr>
          <w:rFonts w:ascii="Arial" w:hAnsi="Arial" w:cs="Arial"/>
        </w:rPr>
        <w:t>,</w:t>
      </w:r>
      <w:r w:rsidR="00623E38" w:rsidRPr="00283D5A">
        <w:rPr>
          <w:rFonts w:ascii="Arial" w:hAnsi="Arial" w:cs="Arial"/>
        </w:rPr>
        <w:t xml:space="preserve"> que buscó establecer una gestión pública y apuntó a la modernización de la administración distrital a través de la adopción de un modelo de gestión pública eficiente y eficaz.</w:t>
      </w:r>
    </w:p>
    <w:p w14:paraId="4EAC341B" w14:textId="0719529F" w:rsidR="00BC1CEE" w:rsidRPr="00283D5A" w:rsidRDefault="008E2467" w:rsidP="00B01200">
      <w:pPr>
        <w:pStyle w:val="Sinespaciado"/>
        <w:numPr>
          <w:ilvl w:val="0"/>
          <w:numId w:val="25"/>
        </w:numPr>
        <w:jc w:val="both"/>
        <w:rPr>
          <w:rFonts w:ascii="Arial" w:hAnsi="Arial" w:cs="Arial"/>
        </w:rPr>
      </w:pPr>
      <w:r w:rsidRPr="00283D5A">
        <w:rPr>
          <w:rFonts w:ascii="Arial" w:hAnsi="Arial" w:cs="Arial"/>
          <w:noProof/>
          <w:lang w:eastAsia="es-CO"/>
        </w:rPr>
        <w:drawing>
          <wp:inline distT="0" distB="0" distL="0" distR="0" wp14:anchorId="38437F5C" wp14:editId="1079B3C2">
            <wp:extent cx="349956" cy="34995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929" cy="356929"/>
                    </a:xfrm>
                    <a:prstGeom prst="rect">
                      <a:avLst/>
                    </a:prstGeom>
                    <a:noFill/>
                    <a:ln>
                      <a:noFill/>
                    </a:ln>
                  </pic:spPr>
                </pic:pic>
              </a:graphicData>
            </a:graphic>
          </wp:inline>
        </w:drawing>
      </w:r>
      <w:r w:rsidRPr="00283D5A">
        <w:rPr>
          <w:rFonts w:ascii="Arial" w:hAnsi="Arial" w:cs="Arial"/>
        </w:rPr>
        <w:t xml:space="preserve"> </w:t>
      </w:r>
      <w:r w:rsidR="001F05EC" w:rsidRPr="00283D5A">
        <w:rPr>
          <w:rFonts w:ascii="Arial" w:hAnsi="Arial" w:cs="Arial"/>
        </w:rPr>
        <w:t xml:space="preserve">2001 – 2004 - </w:t>
      </w:r>
      <w:r w:rsidR="002470E6" w:rsidRPr="00283D5A">
        <w:rPr>
          <w:rFonts w:ascii="Arial" w:hAnsi="Arial" w:cs="Arial"/>
        </w:rPr>
        <w:t xml:space="preserve">Plan de Desarrollo Económico, Social y de Obras Publicas </w:t>
      </w:r>
      <w:r w:rsidR="00B81D7C" w:rsidRPr="00283D5A">
        <w:rPr>
          <w:rFonts w:ascii="Arial" w:hAnsi="Arial" w:cs="Arial"/>
          <w:i/>
          <w:iCs/>
        </w:rPr>
        <w:t>BOGOTÁ PARA VIVIR TODOS DEL MISMO LADO</w:t>
      </w:r>
      <w:r w:rsidR="00201188" w:rsidRPr="00283D5A">
        <w:rPr>
          <w:rFonts w:ascii="Arial" w:hAnsi="Arial" w:cs="Arial"/>
        </w:rPr>
        <w:t xml:space="preserve"> - </w:t>
      </w:r>
      <w:r w:rsidR="003C09BF" w:rsidRPr="00283D5A">
        <w:rPr>
          <w:rFonts w:ascii="Arial" w:hAnsi="Arial" w:cs="Arial"/>
        </w:rPr>
        <w:t xml:space="preserve">Objetivo </w:t>
      </w:r>
      <w:r w:rsidR="00620E42" w:rsidRPr="00283D5A">
        <w:rPr>
          <w:rFonts w:ascii="Arial" w:hAnsi="Arial" w:cs="Arial"/>
        </w:rPr>
        <w:t xml:space="preserve">Siete </w:t>
      </w:r>
      <w:r w:rsidR="003C09BF" w:rsidRPr="00283D5A">
        <w:rPr>
          <w:rFonts w:ascii="Arial" w:hAnsi="Arial" w:cs="Arial"/>
        </w:rPr>
        <w:t>de Gestión Pública Admirable</w:t>
      </w:r>
      <w:r w:rsidR="00BC1CEE" w:rsidRPr="00283D5A">
        <w:rPr>
          <w:rFonts w:ascii="Arial" w:hAnsi="Arial" w:cs="Arial"/>
        </w:rPr>
        <w:t xml:space="preserve">, </w:t>
      </w:r>
      <w:r w:rsidR="002664CE" w:rsidRPr="00283D5A">
        <w:rPr>
          <w:rFonts w:ascii="Arial" w:hAnsi="Arial" w:cs="Arial"/>
        </w:rPr>
        <w:t>con su política de o</w:t>
      </w:r>
      <w:r w:rsidR="00BC1CEE" w:rsidRPr="00283D5A">
        <w:rPr>
          <w:rFonts w:ascii="Arial" w:hAnsi="Arial" w:cs="Arial"/>
        </w:rPr>
        <w:t>rientar la gestión de las institucione</w:t>
      </w:r>
      <w:r w:rsidR="00215674" w:rsidRPr="00283D5A">
        <w:rPr>
          <w:rFonts w:ascii="Arial" w:hAnsi="Arial" w:cs="Arial"/>
        </w:rPr>
        <w:t>s</w:t>
      </w:r>
      <w:r w:rsidR="005444BE" w:rsidRPr="00283D5A">
        <w:rPr>
          <w:rFonts w:ascii="Arial" w:hAnsi="Arial" w:cs="Arial"/>
        </w:rPr>
        <w:t xml:space="preserve"> </w:t>
      </w:r>
      <w:r w:rsidR="007C1559" w:rsidRPr="00283D5A">
        <w:rPr>
          <w:rFonts w:ascii="Arial" w:hAnsi="Arial" w:cs="Arial"/>
        </w:rPr>
        <w:t>mediante su</w:t>
      </w:r>
      <w:r w:rsidR="005444BE" w:rsidRPr="00283D5A">
        <w:rPr>
          <w:rFonts w:ascii="Arial" w:hAnsi="Arial" w:cs="Arial"/>
        </w:rPr>
        <w:t xml:space="preserve"> estrategia </w:t>
      </w:r>
      <w:r w:rsidR="007C1559" w:rsidRPr="00283D5A">
        <w:rPr>
          <w:rFonts w:ascii="Arial" w:hAnsi="Arial" w:cs="Arial"/>
        </w:rPr>
        <w:t>del mejoramiento de la gestión pública y transformación institucional y organizacional del Distrito</w:t>
      </w:r>
      <w:r w:rsidR="00DF7F88" w:rsidRPr="00283D5A">
        <w:rPr>
          <w:rFonts w:ascii="Arial" w:hAnsi="Arial" w:cs="Arial"/>
        </w:rPr>
        <w:t>.</w:t>
      </w:r>
    </w:p>
    <w:p w14:paraId="32CB2660" w14:textId="662BBA43" w:rsidR="00E0031B" w:rsidRPr="00283D5A" w:rsidRDefault="00930F58" w:rsidP="00B01200">
      <w:pPr>
        <w:pStyle w:val="Sinespaciado"/>
        <w:numPr>
          <w:ilvl w:val="0"/>
          <w:numId w:val="25"/>
        </w:numPr>
        <w:jc w:val="both"/>
        <w:rPr>
          <w:rFonts w:ascii="Arial" w:hAnsi="Arial" w:cs="Arial"/>
        </w:rPr>
      </w:pPr>
      <w:r w:rsidRPr="00283D5A">
        <w:rPr>
          <w:rFonts w:ascii="Arial" w:hAnsi="Arial" w:cs="Arial"/>
          <w:noProof/>
          <w:lang w:eastAsia="es-CO"/>
        </w:rPr>
        <w:drawing>
          <wp:inline distT="0" distB="0" distL="0" distR="0" wp14:anchorId="366A0F39" wp14:editId="1DD6DEAB">
            <wp:extent cx="739255" cy="259644"/>
            <wp:effectExtent l="0" t="0" r="381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0301" cy="274060"/>
                    </a:xfrm>
                    <a:prstGeom prst="rect">
                      <a:avLst/>
                    </a:prstGeom>
                    <a:noFill/>
                    <a:ln>
                      <a:noFill/>
                    </a:ln>
                  </pic:spPr>
                </pic:pic>
              </a:graphicData>
            </a:graphic>
          </wp:inline>
        </w:drawing>
      </w:r>
      <w:r w:rsidRPr="00283D5A">
        <w:rPr>
          <w:rFonts w:ascii="Arial" w:hAnsi="Arial" w:cs="Arial"/>
        </w:rPr>
        <w:t xml:space="preserve"> </w:t>
      </w:r>
      <w:r w:rsidR="00933FE4" w:rsidRPr="00283D5A">
        <w:rPr>
          <w:rFonts w:ascii="Arial" w:hAnsi="Arial" w:cs="Arial"/>
        </w:rPr>
        <w:t>2004</w:t>
      </w:r>
      <w:r w:rsidR="00D86315" w:rsidRPr="00283D5A">
        <w:rPr>
          <w:rFonts w:ascii="Arial" w:hAnsi="Arial" w:cs="Arial"/>
        </w:rPr>
        <w:t xml:space="preserve"> – 2008 - Plan de desarrollo económico, social y de obras públicas para Bogotá D.C. </w:t>
      </w:r>
      <w:r w:rsidR="00933FE4" w:rsidRPr="00283D5A">
        <w:rPr>
          <w:rFonts w:ascii="Arial" w:hAnsi="Arial" w:cs="Arial"/>
          <w:i/>
          <w:iCs/>
        </w:rPr>
        <w:t xml:space="preserve">BOGOTÁ SIN INDIFERENCIA UN COMPROMISO SOCIAL </w:t>
      </w:r>
      <w:r w:rsidR="00933FE4" w:rsidRPr="00283D5A">
        <w:rPr>
          <w:rFonts w:ascii="Arial" w:hAnsi="Arial" w:cs="Arial"/>
          <w:i/>
          <w:iCs/>
        </w:rPr>
        <w:lastRenderedPageBreak/>
        <w:t>CONTRA LA POBREZA Y LA EXCLUSIÓN</w:t>
      </w:r>
      <w:r w:rsidR="00D86315" w:rsidRPr="00283D5A">
        <w:rPr>
          <w:rFonts w:ascii="Arial" w:hAnsi="Arial" w:cs="Arial"/>
        </w:rPr>
        <w:t xml:space="preserve"> - </w:t>
      </w:r>
      <w:r w:rsidR="00E0031B" w:rsidRPr="00283D5A">
        <w:rPr>
          <w:rFonts w:ascii="Arial" w:hAnsi="Arial" w:cs="Arial"/>
        </w:rPr>
        <w:t>OBJETIVO DE GESTIÓN PÚBLICA HUMANA</w:t>
      </w:r>
      <w:r w:rsidR="00336966" w:rsidRPr="00283D5A">
        <w:rPr>
          <w:rFonts w:ascii="Arial" w:hAnsi="Arial" w:cs="Arial"/>
        </w:rPr>
        <w:t xml:space="preserve">, </w:t>
      </w:r>
      <w:r w:rsidR="00097B6B" w:rsidRPr="00283D5A">
        <w:rPr>
          <w:rFonts w:ascii="Arial" w:hAnsi="Arial" w:cs="Arial"/>
        </w:rPr>
        <w:t>f</w:t>
      </w:r>
      <w:r w:rsidR="00336966" w:rsidRPr="00283D5A">
        <w:rPr>
          <w:rFonts w:ascii="Arial" w:hAnsi="Arial" w:cs="Arial"/>
        </w:rPr>
        <w:t>ortalec</w:t>
      </w:r>
      <w:r w:rsidR="00097B6B" w:rsidRPr="00283D5A">
        <w:rPr>
          <w:rFonts w:ascii="Arial" w:hAnsi="Arial" w:cs="Arial"/>
        </w:rPr>
        <w:t xml:space="preserve">iendo </w:t>
      </w:r>
      <w:r w:rsidR="00336966" w:rsidRPr="00283D5A">
        <w:rPr>
          <w:rFonts w:ascii="Arial" w:hAnsi="Arial" w:cs="Arial"/>
        </w:rPr>
        <w:t>la gestión institucional,</w:t>
      </w:r>
      <w:r w:rsidR="005F619C" w:rsidRPr="00283D5A">
        <w:rPr>
          <w:rFonts w:ascii="Arial" w:hAnsi="Arial" w:cs="Arial"/>
        </w:rPr>
        <w:t xml:space="preserve"> adecuar y desarrollar la organización Distrital y de preparar la institucionalidad para avanzar decididamente hacia la inclusión</w:t>
      </w:r>
      <w:r w:rsidR="005F619C" w:rsidRPr="00283D5A">
        <w:rPr>
          <w:rFonts w:ascii="Arial" w:hAnsi="Arial" w:cs="Arial"/>
          <w:color w:val="333333"/>
          <w:shd w:val="clear" w:color="auto" w:fill="FFFFFF"/>
        </w:rPr>
        <w:t xml:space="preserve"> social</w:t>
      </w:r>
      <w:r w:rsidR="009A3861" w:rsidRPr="00283D5A">
        <w:rPr>
          <w:rFonts w:ascii="Arial" w:hAnsi="Arial" w:cs="Arial"/>
          <w:color w:val="333333"/>
          <w:shd w:val="clear" w:color="auto" w:fill="FFFFFF"/>
        </w:rPr>
        <w:t>.</w:t>
      </w:r>
    </w:p>
    <w:p w14:paraId="7D5D6BC6" w14:textId="01D446EA" w:rsidR="009A3861" w:rsidRPr="00283D5A" w:rsidRDefault="00930F58" w:rsidP="00C60B2D">
      <w:pPr>
        <w:pStyle w:val="Sinespaciado"/>
        <w:numPr>
          <w:ilvl w:val="0"/>
          <w:numId w:val="25"/>
        </w:numPr>
        <w:jc w:val="both"/>
        <w:rPr>
          <w:rFonts w:ascii="Arial" w:hAnsi="Arial" w:cs="Arial"/>
        </w:rPr>
      </w:pPr>
      <w:r w:rsidRPr="00283D5A">
        <w:rPr>
          <w:rFonts w:ascii="Arial" w:hAnsi="Arial" w:cs="Arial"/>
          <w:noProof/>
          <w:lang w:eastAsia="es-CO"/>
        </w:rPr>
        <w:drawing>
          <wp:inline distT="0" distB="0" distL="0" distR="0" wp14:anchorId="66728676" wp14:editId="529D57C0">
            <wp:extent cx="349885" cy="303828"/>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953" cy="309097"/>
                    </a:xfrm>
                    <a:prstGeom prst="rect">
                      <a:avLst/>
                    </a:prstGeom>
                    <a:noFill/>
                    <a:ln>
                      <a:noFill/>
                    </a:ln>
                  </pic:spPr>
                </pic:pic>
              </a:graphicData>
            </a:graphic>
          </wp:inline>
        </w:drawing>
      </w:r>
      <w:r w:rsidRPr="00283D5A">
        <w:rPr>
          <w:rFonts w:ascii="Arial" w:hAnsi="Arial" w:cs="Arial"/>
        </w:rPr>
        <w:t xml:space="preserve"> </w:t>
      </w:r>
      <w:r w:rsidR="00A917D6" w:rsidRPr="00283D5A">
        <w:rPr>
          <w:rFonts w:ascii="Arial" w:hAnsi="Arial" w:cs="Arial"/>
        </w:rPr>
        <w:t xml:space="preserve">2008 </w:t>
      </w:r>
      <w:r w:rsidR="00E073CE" w:rsidRPr="00283D5A">
        <w:rPr>
          <w:rFonts w:ascii="Arial" w:hAnsi="Arial" w:cs="Arial"/>
        </w:rPr>
        <w:t>–</w:t>
      </w:r>
      <w:r w:rsidR="00A917D6" w:rsidRPr="00283D5A">
        <w:rPr>
          <w:rFonts w:ascii="Arial" w:hAnsi="Arial" w:cs="Arial"/>
        </w:rPr>
        <w:t xml:space="preserve"> </w:t>
      </w:r>
      <w:r w:rsidR="00E073CE" w:rsidRPr="00283D5A">
        <w:rPr>
          <w:rFonts w:ascii="Arial" w:hAnsi="Arial" w:cs="Arial"/>
        </w:rPr>
        <w:t xml:space="preserve">2012 - </w:t>
      </w:r>
      <w:r w:rsidR="00A917D6" w:rsidRPr="00283D5A">
        <w:rPr>
          <w:rFonts w:ascii="Arial" w:hAnsi="Arial" w:cs="Arial"/>
        </w:rPr>
        <w:t>Plan de Desarrollo Económico, Social, Ambiental y de Obras Públicas para Bogotá, D. C., 2008 – 2012 "</w:t>
      </w:r>
      <w:r w:rsidR="00A917D6" w:rsidRPr="00283D5A">
        <w:rPr>
          <w:rFonts w:ascii="Arial" w:hAnsi="Arial" w:cs="Arial"/>
          <w:i/>
          <w:iCs/>
        </w:rPr>
        <w:t>BOGOTÁ POSITIVA: PARA VIVIR MEJOR</w:t>
      </w:r>
      <w:r w:rsidR="00E073CE" w:rsidRPr="00283D5A">
        <w:rPr>
          <w:rFonts w:ascii="Arial" w:hAnsi="Arial" w:cs="Arial"/>
        </w:rPr>
        <w:t>”</w:t>
      </w:r>
      <w:r w:rsidR="00A91BDD" w:rsidRPr="00283D5A">
        <w:rPr>
          <w:rFonts w:ascii="Arial" w:hAnsi="Arial" w:cs="Arial"/>
        </w:rPr>
        <w:t xml:space="preserve">, </w:t>
      </w:r>
      <w:r w:rsidR="00851226" w:rsidRPr="00283D5A">
        <w:rPr>
          <w:rFonts w:ascii="Arial" w:hAnsi="Arial" w:cs="Arial"/>
        </w:rPr>
        <w:t xml:space="preserve">objetivo estructurante </w:t>
      </w:r>
      <w:r w:rsidR="00394262" w:rsidRPr="00283D5A">
        <w:rPr>
          <w:rFonts w:ascii="Arial" w:hAnsi="Arial" w:cs="Arial"/>
        </w:rPr>
        <w:t xml:space="preserve">seis, </w:t>
      </w:r>
      <w:r w:rsidR="00851226" w:rsidRPr="00283D5A">
        <w:rPr>
          <w:rFonts w:ascii="Arial" w:hAnsi="Arial" w:cs="Arial"/>
        </w:rPr>
        <w:t>Gestión pública efectiva y transparente</w:t>
      </w:r>
      <w:r w:rsidR="00CE600A" w:rsidRPr="00283D5A">
        <w:rPr>
          <w:rFonts w:ascii="Arial" w:hAnsi="Arial" w:cs="Arial"/>
        </w:rPr>
        <w:t xml:space="preserve">, con el propósito de </w:t>
      </w:r>
      <w:r w:rsidR="00320D17" w:rsidRPr="00283D5A">
        <w:rPr>
          <w:rFonts w:ascii="Arial" w:hAnsi="Arial" w:cs="Arial"/>
        </w:rPr>
        <w:t>r</w:t>
      </w:r>
      <w:r w:rsidR="00CE600A" w:rsidRPr="00283D5A">
        <w:rPr>
          <w:rFonts w:ascii="Arial" w:hAnsi="Arial" w:cs="Arial"/>
        </w:rPr>
        <w:t>eafirmar una gestión pública al servicio de la ciudadanía</w:t>
      </w:r>
      <w:r w:rsidR="00B05021" w:rsidRPr="00283D5A">
        <w:rPr>
          <w:rFonts w:ascii="Arial" w:hAnsi="Arial" w:cs="Arial"/>
        </w:rPr>
        <w:t xml:space="preserve"> y g</w:t>
      </w:r>
      <w:r w:rsidR="00CE600A" w:rsidRPr="00283D5A">
        <w:rPr>
          <w:rFonts w:ascii="Arial" w:hAnsi="Arial" w:cs="Arial"/>
        </w:rPr>
        <w:t>arantizar oportunidad, calidad y probidad en el ejercicio de la gestión pública</w:t>
      </w:r>
      <w:r w:rsidR="00EA24E5" w:rsidRPr="00283D5A">
        <w:rPr>
          <w:rFonts w:ascii="Arial" w:hAnsi="Arial" w:cs="Arial"/>
        </w:rPr>
        <w:t>, fortaleciendo la cultura organizacional de servicio y calidad</w:t>
      </w:r>
      <w:r w:rsidR="00E06736" w:rsidRPr="00283D5A">
        <w:rPr>
          <w:rFonts w:ascii="Arial" w:hAnsi="Arial" w:cs="Arial"/>
        </w:rPr>
        <w:t>.</w:t>
      </w:r>
    </w:p>
    <w:p w14:paraId="390A095B" w14:textId="4F3F5C3A" w:rsidR="0091197A" w:rsidRPr="00283D5A" w:rsidRDefault="00930F58" w:rsidP="00A35408">
      <w:pPr>
        <w:pStyle w:val="Sinespaciado"/>
        <w:numPr>
          <w:ilvl w:val="0"/>
          <w:numId w:val="25"/>
        </w:numPr>
        <w:jc w:val="both"/>
        <w:rPr>
          <w:rFonts w:ascii="Arial" w:hAnsi="Arial" w:cs="Arial"/>
        </w:rPr>
      </w:pPr>
      <w:r w:rsidRPr="00283D5A">
        <w:rPr>
          <w:rFonts w:ascii="Arial" w:hAnsi="Arial" w:cs="Arial"/>
          <w:noProof/>
          <w:lang w:eastAsia="es-CO"/>
        </w:rPr>
        <w:drawing>
          <wp:inline distT="0" distB="0" distL="0" distR="0" wp14:anchorId="6EC63B01" wp14:editId="45D28BAD">
            <wp:extent cx="349885" cy="25149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097" cy="262434"/>
                    </a:xfrm>
                    <a:prstGeom prst="rect">
                      <a:avLst/>
                    </a:prstGeom>
                    <a:noFill/>
                    <a:ln>
                      <a:noFill/>
                    </a:ln>
                  </pic:spPr>
                </pic:pic>
              </a:graphicData>
            </a:graphic>
          </wp:inline>
        </w:drawing>
      </w:r>
      <w:r w:rsidRPr="00283D5A">
        <w:rPr>
          <w:rFonts w:ascii="Arial" w:hAnsi="Arial" w:cs="Arial"/>
        </w:rPr>
        <w:t xml:space="preserve"> </w:t>
      </w:r>
      <w:r w:rsidR="00E06736" w:rsidRPr="00283D5A">
        <w:rPr>
          <w:rFonts w:ascii="Arial" w:hAnsi="Arial" w:cs="Arial"/>
        </w:rPr>
        <w:t>2012 – 201</w:t>
      </w:r>
      <w:r w:rsidR="00F77F5D" w:rsidRPr="00283D5A">
        <w:rPr>
          <w:rFonts w:ascii="Arial" w:hAnsi="Arial" w:cs="Arial"/>
        </w:rPr>
        <w:t>6</w:t>
      </w:r>
      <w:r w:rsidR="00E06736" w:rsidRPr="00283D5A">
        <w:rPr>
          <w:rFonts w:ascii="Arial" w:hAnsi="Arial" w:cs="Arial"/>
        </w:rPr>
        <w:t xml:space="preserve"> -</w:t>
      </w:r>
      <w:r w:rsidR="00EE1F12" w:rsidRPr="00283D5A">
        <w:rPr>
          <w:rFonts w:ascii="Arial" w:hAnsi="Arial" w:cs="Arial"/>
        </w:rPr>
        <w:t>Plan de Desarrollo Económico, Social, Ambiental y de Obras Públicas Para Bogotá</w:t>
      </w:r>
      <w:r w:rsidR="00EE1F12" w:rsidRPr="00283D5A">
        <w:rPr>
          <w:rFonts w:ascii="Arial" w:hAnsi="Arial" w:cs="Arial"/>
          <w:i/>
          <w:iCs/>
        </w:rPr>
        <w:t xml:space="preserve">, “BOGOTA HUMANA”, </w:t>
      </w:r>
      <w:r w:rsidR="000F029C" w:rsidRPr="00283D5A">
        <w:rPr>
          <w:rFonts w:ascii="Arial" w:hAnsi="Arial" w:cs="Arial"/>
        </w:rPr>
        <w:t xml:space="preserve">en el eje </w:t>
      </w:r>
      <w:r w:rsidR="00C54E52" w:rsidRPr="00283D5A">
        <w:rPr>
          <w:rFonts w:ascii="Arial" w:hAnsi="Arial" w:cs="Arial"/>
        </w:rPr>
        <w:t>tres, una Bogotá en defensa y fortalecimiento de lo público</w:t>
      </w:r>
      <w:r w:rsidR="00FC5775" w:rsidRPr="00283D5A">
        <w:rPr>
          <w:rFonts w:ascii="Arial" w:hAnsi="Arial" w:cs="Arial"/>
        </w:rPr>
        <w:t xml:space="preserve">. </w:t>
      </w:r>
      <w:r w:rsidR="00DA2430" w:rsidRPr="00283D5A">
        <w:rPr>
          <w:rFonts w:ascii="Arial" w:hAnsi="Arial" w:cs="Arial"/>
        </w:rPr>
        <w:t xml:space="preserve">Que </w:t>
      </w:r>
      <w:r w:rsidR="0091197A" w:rsidRPr="00283D5A">
        <w:rPr>
          <w:rFonts w:ascii="Arial" w:hAnsi="Arial" w:cs="Arial"/>
        </w:rPr>
        <w:t>busc</w:t>
      </w:r>
      <w:r w:rsidR="00DA2430" w:rsidRPr="00283D5A">
        <w:rPr>
          <w:rFonts w:ascii="Arial" w:hAnsi="Arial" w:cs="Arial"/>
        </w:rPr>
        <w:t>ó</w:t>
      </w:r>
      <w:r w:rsidR="0091197A" w:rsidRPr="00283D5A">
        <w:rPr>
          <w:rFonts w:ascii="Arial" w:hAnsi="Arial" w:cs="Arial"/>
        </w:rPr>
        <w:t xml:space="preserve"> defender y fortalecer lo público como fundamento del Estado social de derecho</w:t>
      </w:r>
      <w:r w:rsidR="00DA2430" w:rsidRPr="00283D5A">
        <w:rPr>
          <w:rFonts w:ascii="Arial" w:hAnsi="Arial" w:cs="Arial"/>
        </w:rPr>
        <w:t xml:space="preserve"> que </w:t>
      </w:r>
      <w:r w:rsidR="00471F7E" w:rsidRPr="00283D5A">
        <w:rPr>
          <w:rFonts w:ascii="Arial" w:hAnsi="Arial" w:cs="Arial"/>
        </w:rPr>
        <w:t>garantice</w:t>
      </w:r>
      <w:r w:rsidR="00D06BF8" w:rsidRPr="00283D5A">
        <w:rPr>
          <w:rFonts w:ascii="Arial" w:hAnsi="Arial" w:cs="Arial"/>
        </w:rPr>
        <w:t xml:space="preserve"> una estructura administrativa distrital eficiente y comprometida con las necesidades de la ciudadanía</w:t>
      </w:r>
      <w:r w:rsidR="00A35408" w:rsidRPr="00283D5A">
        <w:rPr>
          <w:rFonts w:ascii="Arial" w:hAnsi="Arial" w:cs="Arial"/>
        </w:rPr>
        <w:t>, mediante el f</w:t>
      </w:r>
      <w:r w:rsidR="00DA2430" w:rsidRPr="00283D5A">
        <w:rPr>
          <w:rFonts w:ascii="Arial" w:hAnsi="Arial" w:cs="Arial"/>
        </w:rPr>
        <w:t>ortalec</w:t>
      </w:r>
      <w:r w:rsidR="00A35408" w:rsidRPr="00283D5A">
        <w:rPr>
          <w:rFonts w:ascii="Arial" w:hAnsi="Arial" w:cs="Arial"/>
        </w:rPr>
        <w:t>imiento de</w:t>
      </w:r>
      <w:r w:rsidR="00DA2430" w:rsidRPr="00283D5A">
        <w:rPr>
          <w:rFonts w:ascii="Arial" w:hAnsi="Arial" w:cs="Arial"/>
        </w:rPr>
        <w:t xml:space="preserve"> los procesos y las capacidades organizacionales, los movimientos sociales y las nuevas ciudadanías.</w:t>
      </w:r>
    </w:p>
    <w:p w14:paraId="0DAC6D23" w14:textId="1757F00E" w:rsidR="001F5691" w:rsidRPr="00283D5A" w:rsidRDefault="00930F58" w:rsidP="00B01200">
      <w:pPr>
        <w:pStyle w:val="Sinespaciado"/>
        <w:numPr>
          <w:ilvl w:val="0"/>
          <w:numId w:val="25"/>
        </w:numPr>
        <w:jc w:val="both"/>
        <w:rPr>
          <w:rFonts w:ascii="Arial" w:hAnsi="Arial" w:cs="Arial"/>
        </w:rPr>
      </w:pPr>
      <w:r w:rsidRPr="00283D5A">
        <w:rPr>
          <w:rFonts w:ascii="Arial" w:hAnsi="Arial" w:cs="Arial"/>
          <w:noProof/>
          <w:lang w:eastAsia="es-CO"/>
        </w:rPr>
        <w:drawing>
          <wp:inline distT="0" distB="0" distL="0" distR="0" wp14:anchorId="3A134724" wp14:editId="109CF0BF">
            <wp:extent cx="361218" cy="259645"/>
            <wp:effectExtent l="0" t="0" r="127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823" cy="270143"/>
                    </a:xfrm>
                    <a:prstGeom prst="rect">
                      <a:avLst/>
                    </a:prstGeom>
                    <a:noFill/>
                    <a:ln>
                      <a:noFill/>
                    </a:ln>
                  </pic:spPr>
                </pic:pic>
              </a:graphicData>
            </a:graphic>
          </wp:inline>
        </w:drawing>
      </w:r>
      <w:r w:rsidRPr="00283D5A">
        <w:rPr>
          <w:rFonts w:ascii="Arial" w:hAnsi="Arial" w:cs="Arial"/>
        </w:rPr>
        <w:t xml:space="preserve"> </w:t>
      </w:r>
      <w:r w:rsidR="00ED78E0" w:rsidRPr="00283D5A">
        <w:rPr>
          <w:rFonts w:ascii="Arial" w:hAnsi="Arial" w:cs="Arial"/>
        </w:rPr>
        <w:t>2016 -20</w:t>
      </w:r>
      <w:r w:rsidR="00D92109" w:rsidRPr="00283D5A">
        <w:rPr>
          <w:rFonts w:ascii="Arial" w:hAnsi="Arial" w:cs="Arial"/>
        </w:rPr>
        <w:t xml:space="preserve">20 - </w:t>
      </w:r>
      <w:r w:rsidR="003D13B1" w:rsidRPr="00283D5A">
        <w:rPr>
          <w:rFonts w:ascii="Arial" w:hAnsi="Arial" w:cs="Arial"/>
        </w:rPr>
        <w:t xml:space="preserve">Plan de desarrollo distrital </w:t>
      </w:r>
      <w:r w:rsidR="00143892" w:rsidRPr="00283D5A">
        <w:rPr>
          <w:rFonts w:ascii="Arial" w:hAnsi="Arial" w:cs="Arial"/>
        </w:rPr>
        <w:t xml:space="preserve">“BOGOTÁ MEJOR PARA TODOS”, </w:t>
      </w:r>
      <w:r w:rsidR="00C84833" w:rsidRPr="00283D5A">
        <w:rPr>
          <w:rFonts w:ascii="Arial" w:hAnsi="Arial" w:cs="Arial"/>
        </w:rPr>
        <w:t>en su c</w:t>
      </w:r>
      <w:r w:rsidR="00D74238" w:rsidRPr="00283D5A">
        <w:rPr>
          <w:rFonts w:ascii="Arial" w:hAnsi="Arial" w:cs="Arial"/>
        </w:rPr>
        <w:t>uarto eje transversal: gobierno legítimo, fortalecimiento local y eficiencia</w:t>
      </w:r>
      <w:r w:rsidR="003325B8" w:rsidRPr="00283D5A">
        <w:rPr>
          <w:rFonts w:ascii="Arial" w:hAnsi="Arial" w:cs="Arial"/>
        </w:rPr>
        <w:t xml:space="preserve">, </w:t>
      </w:r>
      <w:r w:rsidR="00B8203D" w:rsidRPr="00283D5A">
        <w:rPr>
          <w:rFonts w:ascii="Arial" w:hAnsi="Arial" w:cs="Arial"/>
        </w:rPr>
        <w:t>estableció el programa T</w:t>
      </w:r>
      <w:r w:rsidR="00CA5780" w:rsidRPr="00283D5A">
        <w:rPr>
          <w:rFonts w:ascii="Arial" w:hAnsi="Arial" w:cs="Arial"/>
        </w:rPr>
        <w:t xml:space="preserve">ransparencia, </w:t>
      </w:r>
      <w:r w:rsidR="003325B8" w:rsidRPr="00283D5A">
        <w:rPr>
          <w:rFonts w:ascii="Arial" w:hAnsi="Arial" w:cs="Arial"/>
        </w:rPr>
        <w:t>G</w:t>
      </w:r>
      <w:r w:rsidR="00B8203D" w:rsidRPr="00283D5A">
        <w:rPr>
          <w:rFonts w:ascii="Arial" w:hAnsi="Arial" w:cs="Arial"/>
        </w:rPr>
        <w:t>estión</w:t>
      </w:r>
      <w:r w:rsidR="003325B8" w:rsidRPr="00283D5A">
        <w:rPr>
          <w:rFonts w:ascii="Arial" w:hAnsi="Arial" w:cs="Arial"/>
        </w:rPr>
        <w:t xml:space="preserve"> </w:t>
      </w:r>
      <w:r w:rsidR="00963ABB" w:rsidRPr="00283D5A">
        <w:rPr>
          <w:rFonts w:ascii="Arial" w:hAnsi="Arial" w:cs="Arial"/>
        </w:rPr>
        <w:t>Pública</w:t>
      </w:r>
      <w:r w:rsidR="000B592A" w:rsidRPr="00283D5A">
        <w:rPr>
          <w:rFonts w:ascii="Arial" w:hAnsi="Arial" w:cs="Arial"/>
        </w:rPr>
        <w:t xml:space="preserve"> y Servicio a la Ciudadanía</w:t>
      </w:r>
      <w:r w:rsidR="000B35F9" w:rsidRPr="00283D5A">
        <w:rPr>
          <w:rFonts w:ascii="Arial" w:hAnsi="Arial" w:cs="Arial"/>
        </w:rPr>
        <w:t xml:space="preserve">, </w:t>
      </w:r>
      <w:r w:rsidR="00B0770F" w:rsidRPr="00283D5A">
        <w:rPr>
          <w:rFonts w:ascii="Arial" w:hAnsi="Arial" w:cs="Arial"/>
        </w:rPr>
        <w:t>que estableció como estrategia la implementación</w:t>
      </w:r>
      <w:r w:rsidR="00117CB7" w:rsidRPr="00283D5A">
        <w:rPr>
          <w:rFonts w:ascii="Arial" w:hAnsi="Arial" w:cs="Arial"/>
        </w:rPr>
        <w:t xml:space="preserve"> </w:t>
      </w:r>
      <w:r w:rsidR="00126355" w:rsidRPr="00283D5A">
        <w:rPr>
          <w:rFonts w:ascii="Arial" w:hAnsi="Arial" w:cs="Arial"/>
        </w:rPr>
        <w:t>d</w:t>
      </w:r>
      <w:r w:rsidR="00117CB7" w:rsidRPr="00283D5A">
        <w:rPr>
          <w:rFonts w:ascii="Arial" w:hAnsi="Arial" w:cs="Arial"/>
        </w:rPr>
        <w:t xml:space="preserve">el SIG como modelo de gestión distrital, </w:t>
      </w:r>
      <w:r w:rsidR="00126355" w:rsidRPr="00283D5A">
        <w:rPr>
          <w:rFonts w:ascii="Arial" w:hAnsi="Arial" w:cs="Arial"/>
        </w:rPr>
        <w:t>con la</w:t>
      </w:r>
      <w:r w:rsidR="00117CB7" w:rsidRPr="00283D5A">
        <w:rPr>
          <w:rFonts w:ascii="Arial" w:hAnsi="Arial" w:cs="Arial"/>
        </w:rPr>
        <w:t xml:space="preserve"> actualización y articulación con el Modelo Integrado de Planeación y Gestión </w:t>
      </w:r>
      <w:r w:rsidR="00C84833" w:rsidRPr="00283D5A">
        <w:rPr>
          <w:rFonts w:ascii="Arial" w:hAnsi="Arial" w:cs="Arial"/>
        </w:rPr>
        <w:t>–</w:t>
      </w:r>
      <w:r w:rsidR="009E55AE" w:rsidRPr="00283D5A">
        <w:rPr>
          <w:rFonts w:ascii="Arial" w:hAnsi="Arial" w:cs="Arial"/>
        </w:rPr>
        <w:t xml:space="preserve"> MIPG</w:t>
      </w:r>
      <w:r w:rsidR="00C84833" w:rsidRPr="00283D5A">
        <w:rPr>
          <w:rFonts w:ascii="Arial" w:hAnsi="Arial" w:cs="Arial"/>
        </w:rPr>
        <w:t>.</w:t>
      </w:r>
    </w:p>
    <w:p w14:paraId="0FF04A0F" w14:textId="77777777" w:rsidR="00BC1CEE" w:rsidRPr="00283D5A" w:rsidRDefault="00BC1CEE" w:rsidP="00B01200">
      <w:pPr>
        <w:pStyle w:val="Sinespaciado"/>
        <w:jc w:val="both"/>
        <w:rPr>
          <w:rFonts w:ascii="Arial" w:hAnsi="Arial" w:cs="Arial"/>
        </w:rPr>
      </w:pPr>
    </w:p>
    <w:p w14:paraId="30B3212B" w14:textId="21F80D90" w:rsidR="003123A8" w:rsidRPr="00283D5A" w:rsidRDefault="004A1023" w:rsidP="003123A8">
      <w:pPr>
        <w:pStyle w:val="Sinespaciado"/>
        <w:jc w:val="both"/>
        <w:rPr>
          <w:rFonts w:ascii="Arial" w:hAnsi="Arial" w:cs="Arial"/>
        </w:rPr>
      </w:pPr>
      <w:r w:rsidRPr="00283D5A">
        <w:rPr>
          <w:rFonts w:ascii="Arial" w:hAnsi="Arial" w:cs="Arial"/>
        </w:rPr>
        <w:t>La actual administración</w:t>
      </w:r>
      <w:r w:rsidR="00F81126" w:rsidRPr="00283D5A">
        <w:rPr>
          <w:rFonts w:ascii="Arial" w:hAnsi="Arial" w:cs="Arial"/>
        </w:rPr>
        <w:t xml:space="preserve"> distrital,</w:t>
      </w:r>
      <w:r w:rsidRPr="00283D5A">
        <w:rPr>
          <w:rFonts w:ascii="Arial" w:hAnsi="Arial" w:cs="Arial"/>
        </w:rPr>
        <w:t xml:space="preserve"> </w:t>
      </w:r>
      <w:r w:rsidR="005E09A2" w:rsidRPr="00283D5A">
        <w:rPr>
          <w:rFonts w:ascii="Arial" w:hAnsi="Arial" w:cs="Arial"/>
        </w:rPr>
        <w:t>evidenci</w:t>
      </w:r>
      <w:r w:rsidR="000B5FCD" w:rsidRPr="00283D5A">
        <w:rPr>
          <w:rFonts w:ascii="Arial" w:hAnsi="Arial" w:cs="Arial"/>
        </w:rPr>
        <w:t xml:space="preserve">ó la importancia y necesidad de </w:t>
      </w:r>
      <w:r w:rsidR="002A3A5B" w:rsidRPr="00283D5A">
        <w:rPr>
          <w:rFonts w:ascii="Arial" w:hAnsi="Arial" w:cs="Arial"/>
        </w:rPr>
        <w:t>ap</w:t>
      </w:r>
      <w:r w:rsidR="006933FD" w:rsidRPr="00283D5A">
        <w:rPr>
          <w:rFonts w:ascii="Arial" w:hAnsi="Arial" w:cs="Arial"/>
        </w:rPr>
        <w:t xml:space="preserve">oyarse en la </w:t>
      </w:r>
      <w:r w:rsidR="00DD5BCB" w:rsidRPr="00283D5A">
        <w:rPr>
          <w:rFonts w:ascii="Arial" w:hAnsi="Arial" w:cs="Arial"/>
        </w:rPr>
        <w:t xml:space="preserve">implementación y sostenibilidad del sistema de gestión </w:t>
      </w:r>
      <w:r w:rsidR="000D180E" w:rsidRPr="00283D5A">
        <w:rPr>
          <w:rFonts w:ascii="Arial" w:hAnsi="Arial" w:cs="Arial"/>
        </w:rPr>
        <w:t>que le contribuya a posicionar al Gobierno Abierto de Bogotá-GABO como una nueva forma de gobernanza que reduce el riesgo de corrupción e incrementa el control ciudadano del gobierno</w:t>
      </w:r>
      <w:r w:rsidR="001273D1" w:rsidRPr="00283D5A">
        <w:rPr>
          <w:rFonts w:ascii="Arial" w:hAnsi="Arial" w:cs="Arial"/>
        </w:rPr>
        <w:t xml:space="preserve">, </w:t>
      </w:r>
      <w:r w:rsidR="001E1B5F" w:rsidRPr="00283D5A">
        <w:rPr>
          <w:rFonts w:ascii="Arial" w:hAnsi="Arial" w:cs="Arial"/>
        </w:rPr>
        <w:t xml:space="preserve">en el marco de las políticas </w:t>
      </w:r>
      <w:r w:rsidR="00777A28" w:rsidRPr="00283D5A">
        <w:rPr>
          <w:rFonts w:ascii="Arial" w:hAnsi="Arial" w:cs="Arial"/>
        </w:rPr>
        <w:t xml:space="preserve">de gestión, desempeño y el componente </w:t>
      </w:r>
      <w:r w:rsidR="00BE4F68" w:rsidRPr="00283D5A">
        <w:rPr>
          <w:rFonts w:ascii="Arial" w:hAnsi="Arial" w:cs="Arial"/>
        </w:rPr>
        <w:t>ambiental</w:t>
      </w:r>
      <w:r w:rsidR="00777A28" w:rsidRPr="00283D5A">
        <w:rPr>
          <w:rFonts w:ascii="Arial" w:hAnsi="Arial" w:cs="Arial"/>
        </w:rPr>
        <w:t xml:space="preserve"> </w:t>
      </w:r>
      <w:r w:rsidR="00BE4F68" w:rsidRPr="00283D5A">
        <w:rPr>
          <w:rFonts w:ascii="Arial" w:hAnsi="Arial" w:cs="Arial"/>
        </w:rPr>
        <w:t xml:space="preserve">establecidas en </w:t>
      </w:r>
      <w:r w:rsidR="001E1B5F" w:rsidRPr="00283D5A">
        <w:rPr>
          <w:rFonts w:ascii="Arial" w:hAnsi="Arial" w:cs="Arial"/>
        </w:rPr>
        <w:t>MIPG</w:t>
      </w:r>
      <w:r w:rsidR="00C318ED" w:rsidRPr="00283D5A">
        <w:rPr>
          <w:rFonts w:ascii="Arial" w:hAnsi="Arial" w:cs="Arial"/>
        </w:rPr>
        <w:t>, inclu</w:t>
      </w:r>
      <w:r w:rsidR="006A6EB9" w:rsidRPr="00283D5A">
        <w:rPr>
          <w:rFonts w:ascii="Arial" w:hAnsi="Arial" w:cs="Arial"/>
        </w:rPr>
        <w:t>id</w:t>
      </w:r>
      <w:r w:rsidR="00C318ED" w:rsidRPr="00283D5A">
        <w:rPr>
          <w:rFonts w:ascii="Arial" w:hAnsi="Arial" w:cs="Arial"/>
        </w:rPr>
        <w:t xml:space="preserve">o en el </w:t>
      </w:r>
      <w:r w:rsidR="000B47BA" w:rsidRPr="00283D5A">
        <w:rPr>
          <w:rFonts w:ascii="Arial" w:hAnsi="Arial" w:cs="Arial"/>
        </w:rPr>
        <w:t xml:space="preserve">propósito 5: Construir </w:t>
      </w:r>
      <w:r w:rsidR="00A72AB1" w:rsidRPr="00283D5A">
        <w:rPr>
          <w:rFonts w:ascii="Arial" w:hAnsi="Arial" w:cs="Arial"/>
          <w:lang w:val="es-ES"/>
        </w:rPr>
        <w:t>Bogotá Región con gobierno abierto, transparente y ciudadanía consciente</w:t>
      </w:r>
      <w:r w:rsidR="000B47BA" w:rsidRPr="00283D5A">
        <w:rPr>
          <w:rFonts w:ascii="Arial" w:hAnsi="Arial" w:cs="Arial"/>
        </w:rPr>
        <w:t xml:space="preserve"> </w:t>
      </w:r>
      <w:r w:rsidR="006A6EB9" w:rsidRPr="00283D5A">
        <w:rPr>
          <w:rFonts w:ascii="Arial" w:hAnsi="Arial" w:cs="Arial"/>
        </w:rPr>
        <w:t>d</w:t>
      </w:r>
      <w:r w:rsidR="000E7E60" w:rsidRPr="00283D5A">
        <w:rPr>
          <w:rFonts w:ascii="Arial" w:hAnsi="Arial" w:cs="Arial"/>
        </w:rPr>
        <w:t>el</w:t>
      </w:r>
      <w:r w:rsidR="000B47BA" w:rsidRPr="00283D5A">
        <w:rPr>
          <w:rFonts w:ascii="Arial" w:hAnsi="Arial" w:cs="Arial"/>
        </w:rPr>
        <w:t xml:space="preserve"> </w:t>
      </w:r>
      <w:r w:rsidR="00A759DF" w:rsidRPr="00283D5A">
        <w:rPr>
          <w:rFonts w:ascii="Arial" w:hAnsi="Arial" w:cs="Arial"/>
        </w:rPr>
        <w:t xml:space="preserve">actual </w:t>
      </w:r>
      <w:r w:rsidR="00C318ED" w:rsidRPr="00283D5A">
        <w:rPr>
          <w:rFonts w:ascii="Arial" w:hAnsi="Arial" w:cs="Arial"/>
        </w:rPr>
        <w:t>Plan Distrital de Desarrollo 2020 – 2024: Un Nuevo Contrato Social y Ambiental para la Bogotá del Siglo XXI</w:t>
      </w:r>
      <w:r w:rsidR="00A759DF" w:rsidRPr="00283D5A">
        <w:rPr>
          <w:rFonts w:ascii="Arial" w:hAnsi="Arial" w:cs="Arial"/>
        </w:rPr>
        <w:t>,</w:t>
      </w:r>
      <w:r w:rsidR="00A83067" w:rsidRPr="00283D5A">
        <w:rPr>
          <w:rFonts w:ascii="Arial" w:hAnsi="Arial" w:cs="Arial"/>
        </w:rPr>
        <w:t xml:space="preserve"> bajo el</w:t>
      </w:r>
      <w:r w:rsidR="00A759DF" w:rsidRPr="00283D5A">
        <w:rPr>
          <w:rFonts w:ascii="Arial" w:hAnsi="Arial" w:cs="Arial"/>
        </w:rPr>
        <w:t xml:space="preserve"> </w:t>
      </w:r>
      <w:r w:rsidR="003123A8" w:rsidRPr="00283D5A">
        <w:rPr>
          <w:rFonts w:ascii="Arial" w:hAnsi="Arial" w:cs="Arial"/>
        </w:rPr>
        <w:t xml:space="preserve">programa </w:t>
      </w:r>
      <w:r w:rsidR="00440355" w:rsidRPr="00283D5A">
        <w:rPr>
          <w:rFonts w:ascii="Arial" w:hAnsi="Arial" w:cs="Arial"/>
        </w:rPr>
        <w:t xml:space="preserve">estratégico </w:t>
      </w:r>
      <w:r w:rsidR="003123A8" w:rsidRPr="00283D5A">
        <w:rPr>
          <w:rFonts w:ascii="Arial" w:hAnsi="Arial" w:cs="Arial"/>
        </w:rPr>
        <w:t>Gestión pública efectiva, abierta y transparente</w:t>
      </w:r>
      <w:r w:rsidR="00A83067" w:rsidRPr="00283D5A">
        <w:rPr>
          <w:rFonts w:ascii="Arial" w:hAnsi="Arial" w:cs="Arial"/>
        </w:rPr>
        <w:t xml:space="preserve">, y realizado a través del </w:t>
      </w:r>
      <w:r w:rsidR="00440355" w:rsidRPr="00283D5A">
        <w:rPr>
          <w:rFonts w:ascii="Arial" w:hAnsi="Arial" w:cs="Arial"/>
        </w:rPr>
        <w:t>programa general Gobierno Abierto.</w:t>
      </w:r>
    </w:p>
    <w:p w14:paraId="45F27F90" w14:textId="630C2B50" w:rsidR="007F40B2" w:rsidRPr="00283D5A" w:rsidRDefault="007F40B2" w:rsidP="00DD5BCB">
      <w:pPr>
        <w:pStyle w:val="Sinespaciado"/>
        <w:jc w:val="both"/>
        <w:rPr>
          <w:rFonts w:ascii="Arial" w:hAnsi="Arial" w:cs="Arial"/>
        </w:rPr>
      </w:pPr>
    </w:p>
    <w:p w14:paraId="6DF04860" w14:textId="0FA54906" w:rsidR="00274836" w:rsidRPr="00283D5A" w:rsidRDefault="00CC4D82" w:rsidP="00274836">
      <w:pPr>
        <w:pStyle w:val="Sinespaciado"/>
        <w:jc w:val="both"/>
        <w:rPr>
          <w:rFonts w:ascii="Arial" w:hAnsi="Arial" w:cs="Arial"/>
        </w:rPr>
      </w:pPr>
      <w:r w:rsidRPr="00283D5A">
        <w:rPr>
          <w:rFonts w:ascii="Arial" w:hAnsi="Arial" w:cs="Arial"/>
        </w:rPr>
        <w:t xml:space="preserve">Así las </w:t>
      </w:r>
      <w:r w:rsidR="000E2A24" w:rsidRPr="00283D5A">
        <w:rPr>
          <w:rFonts w:ascii="Arial" w:hAnsi="Arial" w:cs="Arial"/>
        </w:rPr>
        <w:t>cosas,</w:t>
      </w:r>
      <w:r w:rsidRPr="00283D5A">
        <w:rPr>
          <w:rFonts w:ascii="Arial" w:hAnsi="Arial" w:cs="Arial"/>
        </w:rPr>
        <w:t xml:space="preserve"> la Secretaría Distrital de Integración </w:t>
      </w:r>
      <w:r w:rsidR="007E05E2" w:rsidRPr="00283D5A">
        <w:rPr>
          <w:rFonts w:ascii="Arial" w:hAnsi="Arial" w:cs="Arial"/>
        </w:rPr>
        <w:t xml:space="preserve">Social – SDIS, en cumplimiento de </w:t>
      </w:r>
      <w:r w:rsidR="00242C25" w:rsidRPr="00283D5A">
        <w:rPr>
          <w:rFonts w:ascii="Arial" w:hAnsi="Arial" w:cs="Arial"/>
        </w:rPr>
        <w:t>las políticas publicas priorizadas en el PDD 2020-2024</w:t>
      </w:r>
      <w:r w:rsidR="00142CEC" w:rsidRPr="00283D5A">
        <w:rPr>
          <w:rFonts w:ascii="Arial" w:hAnsi="Arial" w:cs="Arial"/>
        </w:rPr>
        <w:t xml:space="preserve"> como </w:t>
      </w:r>
      <w:r w:rsidR="00C318ED" w:rsidRPr="00283D5A">
        <w:rPr>
          <w:rFonts w:ascii="Arial" w:hAnsi="Arial" w:cs="Arial"/>
        </w:rPr>
        <w:t xml:space="preserve">hoja de ruta que seguirá la Alcaldía Mayor de Bogotá </w:t>
      </w:r>
      <w:r w:rsidR="00F65028" w:rsidRPr="00283D5A">
        <w:rPr>
          <w:rFonts w:ascii="Arial" w:hAnsi="Arial" w:cs="Arial"/>
        </w:rPr>
        <w:t xml:space="preserve">y con el fin de </w:t>
      </w:r>
      <w:r w:rsidR="007936F4" w:rsidRPr="00283D5A">
        <w:rPr>
          <w:rFonts w:ascii="Arial" w:hAnsi="Arial" w:cs="Arial"/>
        </w:rPr>
        <w:t>aumentar su c</w:t>
      </w:r>
      <w:r w:rsidR="00F65028" w:rsidRPr="00283D5A">
        <w:rPr>
          <w:rFonts w:ascii="Arial" w:hAnsi="Arial" w:cs="Arial"/>
        </w:rPr>
        <w:t xml:space="preserve">apacidad </w:t>
      </w:r>
      <w:r w:rsidR="009E19E5" w:rsidRPr="00283D5A">
        <w:rPr>
          <w:rFonts w:ascii="Arial" w:hAnsi="Arial" w:cs="Arial"/>
        </w:rPr>
        <w:t>i</w:t>
      </w:r>
      <w:r w:rsidR="00F65028" w:rsidRPr="00283D5A">
        <w:rPr>
          <w:rFonts w:ascii="Arial" w:hAnsi="Arial" w:cs="Arial"/>
        </w:rPr>
        <w:t xml:space="preserve">nstitucional para la gestión oportuna de la información y el conocimiento que permita la toma de decisiones para una intervención pública acertada que promueva la participación de la </w:t>
      </w:r>
      <w:r w:rsidR="009E19E5" w:rsidRPr="00283D5A">
        <w:rPr>
          <w:rFonts w:ascii="Arial" w:hAnsi="Arial" w:cs="Arial"/>
        </w:rPr>
        <w:t>ciudadanía</w:t>
      </w:r>
      <w:r w:rsidR="006A72DE" w:rsidRPr="00283D5A">
        <w:rPr>
          <w:rFonts w:ascii="Arial" w:hAnsi="Arial" w:cs="Arial"/>
        </w:rPr>
        <w:t>, ha formulado, entre otros proyectos de inversión</w:t>
      </w:r>
      <w:r w:rsidR="00274836" w:rsidRPr="00283D5A">
        <w:rPr>
          <w:rFonts w:ascii="Arial" w:hAnsi="Arial" w:cs="Arial"/>
        </w:rPr>
        <w:t xml:space="preserve">, uno denominado </w:t>
      </w:r>
      <w:r w:rsidR="00561D0E" w:rsidRPr="00AE78CA">
        <w:rPr>
          <w:rFonts w:ascii="Arial" w:hAnsi="Arial" w:cs="Arial"/>
        </w:rPr>
        <w:t>“</w:t>
      </w:r>
      <w:r w:rsidR="00274836" w:rsidRPr="00AE78CA">
        <w:rPr>
          <w:rFonts w:ascii="Arial" w:hAnsi="Arial" w:cs="Arial"/>
        </w:rPr>
        <w:t>Fortalecimiento de la gestión de la información y el conocimiento con enfoque participativo y territorial</w:t>
      </w:r>
      <w:r w:rsidR="00561D0E" w:rsidRPr="00AE78CA">
        <w:rPr>
          <w:rFonts w:ascii="Arial" w:hAnsi="Arial" w:cs="Arial"/>
        </w:rPr>
        <w:t>”</w:t>
      </w:r>
      <w:r w:rsidR="00561D0E" w:rsidRPr="00283D5A">
        <w:rPr>
          <w:rFonts w:ascii="Arial" w:hAnsi="Arial" w:cs="Arial"/>
        </w:rPr>
        <w:t xml:space="preserve"> </w:t>
      </w:r>
      <w:r w:rsidR="00893F82" w:rsidRPr="00283D5A">
        <w:rPr>
          <w:rFonts w:ascii="Arial" w:hAnsi="Arial" w:cs="Arial"/>
        </w:rPr>
        <w:t xml:space="preserve">que estará a cargo de la </w:t>
      </w:r>
      <w:r w:rsidR="00CD76E3" w:rsidRPr="00283D5A">
        <w:rPr>
          <w:rFonts w:ascii="Arial" w:hAnsi="Arial" w:cs="Arial"/>
        </w:rPr>
        <w:t>Dirección de Análisis y Diseño Estratégico</w:t>
      </w:r>
      <w:r w:rsidR="00290C16" w:rsidRPr="00283D5A">
        <w:rPr>
          <w:rFonts w:ascii="Arial" w:hAnsi="Arial" w:cs="Arial"/>
        </w:rPr>
        <w:t>.</w:t>
      </w:r>
    </w:p>
    <w:p w14:paraId="26795AFD" w14:textId="36156F5B" w:rsidR="007801B1" w:rsidRPr="00283D5A" w:rsidRDefault="007801B1" w:rsidP="00DD5BCB">
      <w:pPr>
        <w:pStyle w:val="Sinespaciado"/>
        <w:jc w:val="both"/>
        <w:rPr>
          <w:rFonts w:ascii="Arial" w:hAnsi="Arial" w:cs="Arial"/>
        </w:rPr>
      </w:pPr>
    </w:p>
    <w:p w14:paraId="45EF87EA" w14:textId="6D91A27F" w:rsidR="00687787" w:rsidRPr="00283D5A" w:rsidRDefault="0007462D" w:rsidP="004A1023">
      <w:pPr>
        <w:pStyle w:val="Sinespaciado"/>
        <w:jc w:val="both"/>
        <w:rPr>
          <w:rFonts w:ascii="Arial" w:hAnsi="Arial" w:cs="Arial"/>
        </w:rPr>
      </w:pPr>
      <w:r w:rsidRPr="00283D5A">
        <w:rPr>
          <w:rFonts w:ascii="Arial" w:hAnsi="Arial" w:cs="Arial"/>
        </w:rPr>
        <w:lastRenderedPageBreak/>
        <w:t>Por todo lo anteri</w:t>
      </w:r>
      <w:r w:rsidR="00DB7D38" w:rsidRPr="00283D5A">
        <w:rPr>
          <w:rFonts w:ascii="Arial" w:hAnsi="Arial" w:cs="Arial"/>
        </w:rPr>
        <w:t xml:space="preserve">or </w:t>
      </w:r>
      <w:r w:rsidR="00687787" w:rsidRPr="00283D5A">
        <w:rPr>
          <w:rFonts w:ascii="Arial" w:hAnsi="Arial" w:cs="Arial"/>
        </w:rPr>
        <w:t>el</w:t>
      </w:r>
      <w:r w:rsidR="002978FC" w:rsidRPr="00283D5A">
        <w:rPr>
          <w:rFonts w:ascii="Arial" w:hAnsi="Arial" w:cs="Arial"/>
        </w:rPr>
        <w:t xml:space="preserve"> p</w:t>
      </w:r>
      <w:r w:rsidR="00687787" w:rsidRPr="00283D5A">
        <w:rPr>
          <w:rFonts w:ascii="Arial" w:hAnsi="Arial" w:cs="Arial"/>
        </w:rPr>
        <w:t>rograma</w:t>
      </w:r>
      <w:r w:rsidR="002978FC" w:rsidRPr="00283D5A">
        <w:rPr>
          <w:rFonts w:ascii="Arial" w:hAnsi="Arial" w:cs="Arial"/>
        </w:rPr>
        <w:t xml:space="preserve"> de </w:t>
      </w:r>
      <w:r w:rsidR="00687787" w:rsidRPr="00283D5A">
        <w:rPr>
          <w:rFonts w:ascii="Arial" w:hAnsi="Arial" w:cs="Arial"/>
        </w:rPr>
        <w:t xml:space="preserve">Implementación y sostenibilidad del </w:t>
      </w:r>
      <w:r w:rsidR="00794353" w:rsidRPr="00283D5A">
        <w:rPr>
          <w:rFonts w:ascii="Arial" w:hAnsi="Arial" w:cs="Arial"/>
        </w:rPr>
        <w:t>S</w:t>
      </w:r>
      <w:r w:rsidR="00687787" w:rsidRPr="00283D5A">
        <w:rPr>
          <w:rFonts w:ascii="Arial" w:hAnsi="Arial" w:cs="Arial"/>
        </w:rPr>
        <w:t xml:space="preserve">istema de </w:t>
      </w:r>
      <w:r w:rsidR="00794353" w:rsidRPr="00283D5A">
        <w:rPr>
          <w:rFonts w:ascii="Arial" w:hAnsi="Arial" w:cs="Arial"/>
        </w:rPr>
        <w:t>G</w:t>
      </w:r>
      <w:r w:rsidR="00687787" w:rsidRPr="00283D5A">
        <w:rPr>
          <w:rFonts w:ascii="Arial" w:hAnsi="Arial" w:cs="Arial"/>
        </w:rPr>
        <w:t xml:space="preserve">estión de la </w:t>
      </w:r>
      <w:r w:rsidR="009F7FF6" w:rsidRPr="00283D5A">
        <w:rPr>
          <w:rFonts w:ascii="Arial" w:hAnsi="Arial" w:cs="Arial"/>
        </w:rPr>
        <w:t>SDIS</w:t>
      </w:r>
      <w:r w:rsidR="00607C35" w:rsidRPr="00283D5A">
        <w:rPr>
          <w:rFonts w:ascii="Arial" w:hAnsi="Arial" w:cs="Arial"/>
        </w:rPr>
        <w:t xml:space="preserve"> </w:t>
      </w:r>
      <w:r w:rsidR="00687787" w:rsidRPr="00283D5A">
        <w:rPr>
          <w:rFonts w:ascii="Arial" w:hAnsi="Arial" w:cs="Arial"/>
        </w:rPr>
        <w:t>2020 -2024</w:t>
      </w:r>
      <w:r w:rsidR="000C2276" w:rsidRPr="00283D5A">
        <w:rPr>
          <w:rFonts w:ascii="Arial" w:hAnsi="Arial" w:cs="Arial"/>
        </w:rPr>
        <w:t>,</w:t>
      </w:r>
      <w:r w:rsidR="00794353" w:rsidRPr="00283D5A">
        <w:rPr>
          <w:rFonts w:ascii="Arial" w:hAnsi="Arial" w:cs="Arial"/>
        </w:rPr>
        <w:t xml:space="preserve"> </w:t>
      </w:r>
      <w:r w:rsidR="009F7FF6" w:rsidRPr="00283D5A">
        <w:rPr>
          <w:rFonts w:ascii="Arial" w:hAnsi="Arial" w:cs="Arial"/>
        </w:rPr>
        <w:t xml:space="preserve">se </w:t>
      </w:r>
      <w:r w:rsidR="009F7FF6" w:rsidRPr="00283D5A">
        <w:rPr>
          <w:rFonts w:ascii="Arial" w:hAnsi="Arial" w:cs="Arial"/>
          <w:lang w:val="es-ES"/>
        </w:rPr>
        <w:t>fortalecerá</w:t>
      </w:r>
      <w:r w:rsidR="000C2276" w:rsidRPr="00283D5A">
        <w:rPr>
          <w:rFonts w:ascii="Arial" w:hAnsi="Arial" w:cs="Arial"/>
          <w:lang w:val="es-ES"/>
        </w:rPr>
        <w:t xml:space="preserve"> a través del diseño e implementación de controles para el cumplimiento de la misionalidad y objetivos estratégicos de la entidad</w:t>
      </w:r>
      <w:r w:rsidR="009F7FF6" w:rsidRPr="00283D5A">
        <w:rPr>
          <w:rFonts w:ascii="Arial" w:hAnsi="Arial" w:cs="Arial"/>
          <w:lang w:val="es-ES"/>
        </w:rPr>
        <w:t xml:space="preserve">, en el marco </w:t>
      </w:r>
      <w:r w:rsidR="004B2FA2" w:rsidRPr="00283D5A">
        <w:rPr>
          <w:rFonts w:ascii="Arial" w:hAnsi="Arial" w:cs="Arial"/>
        </w:rPr>
        <w:t>de las políticas de gestión, desempeño y el componente ambiental establecidas en MIPG</w:t>
      </w:r>
      <w:r w:rsidR="00D81F68" w:rsidRPr="00283D5A">
        <w:rPr>
          <w:rFonts w:ascii="Arial" w:hAnsi="Arial" w:cs="Arial"/>
        </w:rPr>
        <w:t>.</w:t>
      </w:r>
    </w:p>
    <w:p w14:paraId="38466BB7" w14:textId="28192064" w:rsidR="00BA7146" w:rsidRDefault="00BA7146">
      <w:pPr>
        <w:spacing w:after="0" w:line="240" w:lineRule="auto"/>
        <w:rPr>
          <w:sz w:val="24"/>
          <w:szCs w:val="24"/>
        </w:rPr>
      </w:pPr>
      <w:r>
        <w:rPr>
          <w:sz w:val="24"/>
          <w:szCs w:val="24"/>
        </w:rPr>
        <w:br w:type="page"/>
      </w:r>
    </w:p>
    <w:p w14:paraId="4C16118B" w14:textId="0BEFDB16" w:rsidR="000D5F71" w:rsidRPr="00AE78CA" w:rsidRDefault="00637258" w:rsidP="00835BC6">
      <w:pPr>
        <w:pStyle w:val="Sinespaciado"/>
        <w:numPr>
          <w:ilvl w:val="0"/>
          <w:numId w:val="14"/>
        </w:numPr>
        <w:ind w:left="426" w:hanging="426"/>
        <w:rPr>
          <w:rFonts w:ascii="Arial" w:hAnsi="Arial" w:cs="Arial"/>
          <w:b/>
          <w:bCs/>
        </w:rPr>
      </w:pPr>
      <w:r>
        <w:rPr>
          <w:rFonts w:ascii="Arial" w:hAnsi="Arial" w:cs="Arial"/>
          <w:b/>
          <w:bCs/>
        </w:rPr>
        <w:lastRenderedPageBreak/>
        <w:t>Descripción</w:t>
      </w:r>
      <w:r w:rsidRPr="00AE78CA">
        <w:rPr>
          <w:rFonts w:ascii="Arial" w:hAnsi="Arial" w:cs="Arial"/>
          <w:b/>
          <w:bCs/>
        </w:rPr>
        <w:t xml:space="preserve"> </w:t>
      </w:r>
      <w:r w:rsidR="000D5F71" w:rsidRPr="00AE78CA">
        <w:rPr>
          <w:rFonts w:ascii="Arial" w:hAnsi="Arial" w:cs="Arial"/>
          <w:b/>
          <w:bCs/>
        </w:rPr>
        <w:t xml:space="preserve">del </w:t>
      </w:r>
      <w:r w:rsidR="00A36758">
        <w:rPr>
          <w:rFonts w:ascii="Arial" w:hAnsi="Arial" w:cs="Arial"/>
          <w:b/>
          <w:bCs/>
        </w:rPr>
        <w:t>p</w:t>
      </w:r>
      <w:r w:rsidR="000D5F71" w:rsidRPr="00AE78CA">
        <w:rPr>
          <w:rFonts w:ascii="Arial" w:hAnsi="Arial" w:cs="Arial"/>
          <w:b/>
          <w:bCs/>
        </w:rPr>
        <w:t xml:space="preserve">rograma </w:t>
      </w:r>
      <w:r w:rsidR="006D7BF0" w:rsidRPr="00AE78CA">
        <w:rPr>
          <w:rFonts w:ascii="Arial" w:hAnsi="Arial" w:cs="Arial"/>
          <w:b/>
          <w:bCs/>
        </w:rPr>
        <w:t xml:space="preserve">de </w:t>
      </w:r>
      <w:r w:rsidR="000D5F71" w:rsidRPr="00AE78CA">
        <w:rPr>
          <w:rFonts w:ascii="Arial" w:hAnsi="Arial" w:cs="Arial"/>
          <w:b/>
          <w:bCs/>
        </w:rPr>
        <w:t xml:space="preserve">implementación y sostenibilidad del </w:t>
      </w:r>
      <w:r w:rsidR="00615372" w:rsidRPr="00AE78CA">
        <w:rPr>
          <w:rFonts w:ascii="Arial" w:hAnsi="Arial" w:cs="Arial"/>
          <w:b/>
          <w:bCs/>
        </w:rPr>
        <w:t>S</w:t>
      </w:r>
      <w:r w:rsidR="000D5F71" w:rsidRPr="00AE78CA">
        <w:rPr>
          <w:rFonts w:ascii="Arial" w:hAnsi="Arial" w:cs="Arial"/>
          <w:b/>
          <w:bCs/>
        </w:rPr>
        <w:t xml:space="preserve">istema de </w:t>
      </w:r>
      <w:r w:rsidR="00615372" w:rsidRPr="00AE78CA">
        <w:rPr>
          <w:rFonts w:ascii="Arial" w:hAnsi="Arial" w:cs="Arial"/>
          <w:b/>
          <w:bCs/>
        </w:rPr>
        <w:t>G</w:t>
      </w:r>
      <w:r w:rsidR="000D5F71" w:rsidRPr="00AE78CA">
        <w:rPr>
          <w:rFonts w:ascii="Arial" w:hAnsi="Arial" w:cs="Arial"/>
          <w:b/>
          <w:bCs/>
        </w:rPr>
        <w:t>estión</w:t>
      </w:r>
      <w:r w:rsidR="00615372" w:rsidRPr="00AE78CA">
        <w:rPr>
          <w:rFonts w:ascii="Arial" w:hAnsi="Arial" w:cs="Arial"/>
          <w:b/>
          <w:bCs/>
        </w:rPr>
        <w:t xml:space="preserve"> SDIS</w:t>
      </w:r>
    </w:p>
    <w:p w14:paraId="506F6BC3" w14:textId="77777777" w:rsidR="00F56B6B" w:rsidRPr="00AE78CA" w:rsidRDefault="00F56B6B" w:rsidP="00F56B6B">
      <w:pPr>
        <w:pStyle w:val="Sinespaciado"/>
        <w:rPr>
          <w:rFonts w:ascii="Arial" w:hAnsi="Arial" w:cs="Arial"/>
        </w:rPr>
      </w:pPr>
    </w:p>
    <w:p w14:paraId="03B8D938" w14:textId="218EB0A0" w:rsidR="006C2F07" w:rsidRPr="00AE78CA" w:rsidRDefault="009C458E" w:rsidP="00B716F6">
      <w:pPr>
        <w:pStyle w:val="Prrafodelista"/>
        <w:numPr>
          <w:ilvl w:val="1"/>
          <w:numId w:val="14"/>
        </w:numPr>
        <w:ind w:hanging="654"/>
        <w:rPr>
          <w:rFonts w:ascii="Arial" w:hAnsi="Arial" w:cs="Arial"/>
          <w:b/>
        </w:rPr>
      </w:pPr>
      <w:r w:rsidRPr="00AE78CA">
        <w:rPr>
          <w:rFonts w:ascii="Arial" w:hAnsi="Arial" w:cs="Arial"/>
          <w:b/>
        </w:rPr>
        <w:t>Antecedentes</w:t>
      </w:r>
    </w:p>
    <w:p w14:paraId="40A55B3A" w14:textId="77777777" w:rsidR="008A7E7D" w:rsidRPr="00AE78CA" w:rsidRDefault="008A7E7D" w:rsidP="00907F20">
      <w:pPr>
        <w:pStyle w:val="Sinespaciado"/>
        <w:rPr>
          <w:rFonts w:ascii="Arial" w:hAnsi="Arial" w:cs="Arial"/>
          <w:b/>
        </w:rPr>
      </w:pPr>
      <w:r w:rsidRPr="00AE78CA">
        <w:rPr>
          <w:rFonts w:ascii="Arial" w:hAnsi="Arial" w:cs="Arial"/>
          <w:b/>
        </w:rPr>
        <w:t>Implementación MIPG</w:t>
      </w:r>
    </w:p>
    <w:p w14:paraId="22A9909F" w14:textId="77777777" w:rsidR="008A7E7D" w:rsidRPr="00AE78CA" w:rsidRDefault="008A7E7D" w:rsidP="00907F20">
      <w:pPr>
        <w:pStyle w:val="Sinespaciado"/>
        <w:rPr>
          <w:rFonts w:ascii="Arial" w:hAnsi="Arial" w:cs="Arial"/>
        </w:rPr>
      </w:pPr>
    </w:p>
    <w:p w14:paraId="5E1DE15A" w14:textId="4471749B" w:rsidR="008A7E7D" w:rsidRPr="00AE78CA" w:rsidRDefault="008A7E7D" w:rsidP="00907F20">
      <w:pPr>
        <w:pStyle w:val="Default"/>
        <w:jc w:val="both"/>
        <w:rPr>
          <w:color w:val="auto"/>
          <w:sz w:val="22"/>
          <w:szCs w:val="22"/>
        </w:rPr>
      </w:pPr>
      <w:r w:rsidRPr="00AE78CA">
        <w:rPr>
          <w:color w:val="auto"/>
          <w:sz w:val="22"/>
          <w:szCs w:val="22"/>
        </w:rPr>
        <w:t>A partir de la expedición del Decreto Nacional 1499 de 2017</w:t>
      </w:r>
      <w:r w:rsidRPr="00AE78CA">
        <w:rPr>
          <w:rStyle w:val="Refdenotaalpie"/>
          <w:color w:val="auto"/>
          <w:sz w:val="22"/>
          <w:szCs w:val="22"/>
        </w:rPr>
        <w:footnoteReference w:id="1"/>
      </w:r>
      <w:r w:rsidRPr="00AE78CA">
        <w:rPr>
          <w:color w:val="auto"/>
          <w:sz w:val="22"/>
          <w:szCs w:val="22"/>
        </w:rPr>
        <w:t xml:space="preserve">, el Distrito Capital </w:t>
      </w:r>
      <w:r w:rsidR="002D338B" w:rsidRPr="00AE78CA">
        <w:rPr>
          <w:color w:val="auto"/>
          <w:sz w:val="22"/>
          <w:szCs w:val="22"/>
        </w:rPr>
        <w:t>adoptó</w:t>
      </w:r>
      <w:r w:rsidRPr="00AE78CA">
        <w:rPr>
          <w:color w:val="auto"/>
          <w:sz w:val="22"/>
          <w:szCs w:val="22"/>
        </w:rPr>
        <w:t xml:space="preserve"> el Modelo Integrado de Planeación y Gestión </w:t>
      </w:r>
      <w:r w:rsidR="00B17D49" w:rsidRPr="00AE78CA">
        <w:rPr>
          <w:color w:val="auto"/>
          <w:sz w:val="22"/>
          <w:szCs w:val="22"/>
        </w:rPr>
        <w:t>-</w:t>
      </w:r>
      <w:r w:rsidRPr="00AE78CA">
        <w:rPr>
          <w:color w:val="auto"/>
          <w:sz w:val="22"/>
          <w:szCs w:val="22"/>
        </w:rPr>
        <w:t>MIPG</w:t>
      </w:r>
      <w:r w:rsidR="00AE78CA">
        <w:rPr>
          <w:color w:val="auto"/>
          <w:sz w:val="22"/>
          <w:szCs w:val="22"/>
        </w:rPr>
        <w:t>,</w:t>
      </w:r>
      <w:r w:rsidRPr="00AE78CA">
        <w:rPr>
          <w:color w:val="auto"/>
          <w:sz w:val="22"/>
          <w:szCs w:val="22"/>
        </w:rPr>
        <w:t xml:space="preserve"> mediante el Decreto Distrital 591 de 2018</w:t>
      </w:r>
      <w:r w:rsidRPr="00AE78CA">
        <w:rPr>
          <w:rStyle w:val="Refdenotaalpie"/>
          <w:color w:val="auto"/>
          <w:sz w:val="22"/>
          <w:szCs w:val="22"/>
        </w:rPr>
        <w:footnoteReference w:id="2"/>
      </w:r>
      <w:r w:rsidRPr="00AE78CA">
        <w:rPr>
          <w:color w:val="auto"/>
          <w:sz w:val="22"/>
          <w:szCs w:val="22"/>
        </w:rPr>
        <w:t>, derogado por el Decreto Distrital 807 de 2019</w:t>
      </w:r>
      <w:r w:rsidRPr="00AE78CA">
        <w:rPr>
          <w:rStyle w:val="Refdenotaalpie"/>
          <w:color w:val="auto"/>
          <w:sz w:val="22"/>
          <w:szCs w:val="22"/>
        </w:rPr>
        <w:footnoteReference w:id="3"/>
      </w:r>
      <w:r w:rsidRPr="00AE78CA">
        <w:rPr>
          <w:color w:val="auto"/>
          <w:sz w:val="22"/>
          <w:szCs w:val="22"/>
        </w:rPr>
        <w:t>, el cual contempla entre otros los siguientes artículos:</w:t>
      </w:r>
    </w:p>
    <w:p w14:paraId="3B5B1F60" w14:textId="77777777" w:rsidR="008A7E7D" w:rsidRPr="00AE78CA" w:rsidRDefault="008A7E7D" w:rsidP="00907F20">
      <w:pPr>
        <w:pStyle w:val="Default"/>
        <w:jc w:val="both"/>
        <w:rPr>
          <w:color w:val="auto"/>
          <w:sz w:val="22"/>
          <w:szCs w:val="22"/>
        </w:rPr>
      </w:pPr>
    </w:p>
    <w:p w14:paraId="31CF6C02" w14:textId="4F9338BF" w:rsidR="008A7E7D" w:rsidRPr="00AE78CA" w:rsidRDefault="008A7E7D" w:rsidP="00907F20">
      <w:pPr>
        <w:pStyle w:val="Default"/>
        <w:jc w:val="both"/>
        <w:rPr>
          <w:color w:val="auto"/>
          <w:sz w:val="22"/>
          <w:szCs w:val="22"/>
        </w:rPr>
      </w:pPr>
      <w:r w:rsidRPr="00AE78CA">
        <w:rPr>
          <w:color w:val="auto"/>
          <w:sz w:val="22"/>
          <w:szCs w:val="22"/>
        </w:rPr>
        <w:t>“</w:t>
      </w:r>
      <w:r w:rsidRPr="00AE78CA">
        <w:rPr>
          <w:b/>
          <w:color w:val="auto"/>
          <w:sz w:val="22"/>
          <w:szCs w:val="22"/>
        </w:rPr>
        <w:t>Artículo 1. Adopción del sistema de gestión</w:t>
      </w:r>
      <w:r w:rsidRPr="00AE78CA">
        <w:rPr>
          <w:color w:val="auto"/>
          <w:sz w:val="22"/>
          <w:szCs w:val="22"/>
        </w:rPr>
        <w:t xml:space="preserve">. Adóptese en el Distrito Capital el Sistema de Gestión de </w:t>
      </w:r>
      <w:proofErr w:type="spellStart"/>
      <w:r w:rsidRPr="00AE78CA">
        <w:rPr>
          <w:color w:val="auto"/>
          <w:sz w:val="22"/>
          <w:szCs w:val="22"/>
        </w:rPr>
        <w:t>qu</w:t>
      </w:r>
      <w:r w:rsidR="00B17D49" w:rsidRPr="00AE78CA">
        <w:rPr>
          <w:color w:val="auto"/>
          <w:sz w:val="22"/>
          <w:szCs w:val="22"/>
        </w:rPr>
        <w:t>e</w:t>
      </w:r>
      <w:proofErr w:type="spellEnd"/>
      <w:r w:rsidRPr="00AE78CA">
        <w:rPr>
          <w:color w:val="auto"/>
          <w:sz w:val="22"/>
          <w:szCs w:val="22"/>
        </w:rPr>
        <w:t xml:space="preserve"> trata el artículo 2.2.22.1.1 del Título 22 de la Parte 2 del Libro 2 del Decreto Nacional 1083 de 2015, sustituido por el artículo 1 del Decreto Nacional 1499 de 2017, el cual se articula con el Sistema de Control Interno dispuesto en la Ley 87 de 1993 y en el Capítulo VI de la Ley 489 de 1998 a través de la implementación del Modelo Integrado de Planeación y Gestión —MIPG”. </w:t>
      </w:r>
    </w:p>
    <w:p w14:paraId="7D6F6329" w14:textId="77777777" w:rsidR="008A7E7D" w:rsidRPr="00AE78CA" w:rsidRDefault="008A7E7D" w:rsidP="00907F20">
      <w:pPr>
        <w:pStyle w:val="Default"/>
        <w:jc w:val="both"/>
        <w:rPr>
          <w:color w:val="auto"/>
          <w:sz w:val="22"/>
          <w:szCs w:val="22"/>
        </w:rPr>
      </w:pPr>
    </w:p>
    <w:p w14:paraId="353C2550" w14:textId="5DF4DA71" w:rsidR="008A7E7D" w:rsidRPr="00AE78CA" w:rsidRDefault="008A7E7D" w:rsidP="00907F20">
      <w:pPr>
        <w:pStyle w:val="Default"/>
        <w:jc w:val="both"/>
        <w:rPr>
          <w:color w:val="auto"/>
          <w:sz w:val="22"/>
          <w:szCs w:val="22"/>
        </w:rPr>
      </w:pPr>
      <w:r w:rsidRPr="00AE78CA">
        <w:rPr>
          <w:b/>
          <w:color w:val="auto"/>
          <w:sz w:val="22"/>
          <w:szCs w:val="22"/>
        </w:rPr>
        <w:t>“Artículo 2. Definición</w:t>
      </w:r>
      <w:r w:rsidRPr="00AE78CA">
        <w:rPr>
          <w:color w:val="auto"/>
          <w:sz w:val="22"/>
          <w:szCs w:val="22"/>
        </w:rPr>
        <w:t>. El Sistema de Gestión es el conjunto de entidades y organismos distritales, políticas de gestión y desempeño institucional, normas, recursos e información, cuyo objeto es dirigir la gestión pública al mejor desempeño institucional y a la consecución de resultados que satisfagan las necesidades de la ciudadanía y permitan el goce efectivo de los derechos en el mar</w:t>
      </w:r>
      <w:r w:rsidR="00B17D49" w:rsidRPr="00AE78CA">
        <w:rPr>
          <w:color w:val="auto"/>
          <w:sz w:val="22"/>
          <w:szCs w:val="22"/>
        </w:rPr>
        <w:t>c</w:t>
      </w:r>
      <w:r w:rsidRPr="00AE78CA">
        <w:rPr>
          <w:color w:val="auto"/>
          <w:sz w:val="22"/>
          <w:szCs w:val="22"/>
        </w:rPr>
        <w:t>o de la legalidad y la integridad”.</w:t>
      </w:r>
    </w:p>
    <w:p w14:paraId="5F704CFF" w14:textId="77777777" w:rsidR="008A7E7D" w:rsidRPr="00AE78CA" w:rsidRDefault="008A7E7D" w:rsidP="00907F20">
      <w:pPr>
        <w:pStyle w:val="Default"/>
        <w:jc w:val="both"/>
        <w:rPr>
          <w:color w:val="auto"/>
          <w:sz w:val="22"/>
          <w:szCs w:val="22"/>
        </w:rPr>
      </w:pPr>
    </w:p>
    <w:p w14:paraId="7246B1CB" w14:textId="77777777" w:rsidR="008A7E7D" w:rsidRPr="00AE78CA" w:rsidRDefault="008A7E7D" w:rsidP="00907F20">
      <w:pPr>
        <w:pStyle w:val="Default"/>
        <w:jc w:val="both"/>
        <w:rPr>
          <w:color w:val="auto"/>
          <w:sz w:val="22"/>
          <w:szCs w:val="22"/>
        </w:rPr>
      </w:pPr>
      <w:r w:rsidRPr="00AE78CA">
        <w:rPr>
          <w:color w:val="auto"/>
          <w:sz w:val="22"/>
          <w:szCs w:val="22"/>
        </w:rPr>
        <w:t>“</w:t>
      </w:r>
      <w:r w:rsidRPr="00AE78CA">
        <w:rPr>
          <w:b/>
          <w:color w:val="auto"/>
          <w:sz w:val="22"/>
          <w:szCs w:val="22"/>
        </w:rPr>
        <w:t>Artículo 5.</w:t>
      </w:r>
      <w:r w:rsidRPr="00AE78CA">
        <w:rPr>
          <w:color w:val="auto"/>
          <w:sz w:val="22"/>
          <w:szCs w:val="22"/>
        </w:rPr>
        <w:t xml:space="preserve"> Modelo Integrado de Planeación y Gestión - MIPG. Adóptese para el Distrito Capital el MIPG, como un mecanismo que facilita la integración y articulación entre el Sistema de Gestión y el Sistema de Control Interno, y que constituye el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p>
    <w:p w14:paraId="1D1FACD0" w14:textId="77777777" w:rsidR="008A7E7D" w:rsidRPr="00AE78CA" w:rsidRDefault="008A7E7D" w:rsidP="00907F20">
      <w:pPr>
        <w:pStyle w:val="Default"/>
        <w:jc w:val="both"/>
        <w:rPr>
          <w:color w:val="auto"/>
          <w:sz w:val="22"/>
          <w:szCs w:val="22"/>
        </w:rPr>
      </w:pPr>
    </w:p>
    <w:p w14:paraId="633568F9" w14:textId="77777777" w:rsidR="008A7E7D" w:rsidRPr="00AE78CA" w:rsidRDefault="008A7E7D" w:rsidP="00907F20">
      <w:pPr>
        <w:pStyle w:val="Default"/>
        <w:jc w:val="both"/>
        <w:rPr>
          <w:color w:val="auto"/>
          <w:sz w:val="22"/>
          <w:szCs w:val="22"/>
        </w:rPr>
      </w:pPr>
      <w:r w:rsidRPr="00AE78CA">
        <w:rPr>
          <w:color w:val="auto"/>
          <w:sz w:val="22"/>
          <w:szCs w:val="22"/>
        </w:rPr>
        <w:t>La Secretaría Distrital de Integración Social ha venido avanzando en la implementación, mantenimiento y mejora del Sistema de Gestión bajo el referente Modelo Integrado de Planeación y Gestión – MIPG, mediante diferentes acciones como la creación del Comité Institucional de Gestión y Desempeño a través de la expedición de la Resolución 0355 del 26 de febrero de 2019</w:t>
      </w:r>
      <w:r w:rsidRPr="00AE78CA">
        <w:rPr>
          <w:rStyle w:val="Refdenotaalpie"/>
          <w:color w:val="auto"/>
          <w:sz w:val="22"/>
          <w:szCs w:val="22"/>
        </w:rPr>
        <w:footnoteReference w:id="4"/>
      </w:r>
      <w:r w:rsidRPr="00AE78CA">
        <w:rPr>
          <w:color w:val="auto"/>
          <w:sz w:val="22"/>
          <w:szCs w:val="22"/>
        </w:rPr>
        <w:t xml:space="preserve"> y su modificación mediante la Resolución 0652 del 20 de marzo de </w:t>
      </w:r>
      <w:r w:rsidRPr="00AE78CA">
        <w:rPr>
          <w:color w:val="auto"/>
          <w:sz w:val="22"/>
          <w:szCs w:val="22"/>
        </w:rPr>
        <w:lastRenderedPageBreak/>
        <w:t>2020</w:t>
      </w:r>
      <w:r w:rsidRPr="00AE78CA">
        <w:rPr>
          <w:rStyle w:val="Refdenotaalpie"/>
          <w:color w:val="auto"/>
          <w:sz w:val="22"/>
          <w:szCs w:val="22"/>
        </w:rPr>
        <w:footnoteReference w:id="5"/>
      </w:r>
      <w:r w:rsidRPr="00AE78CA">
        <w:rPr>
          <w:color w:val="auto"/>
          <w:sz w:val="22"/>
          <w:szCs w:val="22"/>
        </w:rPr>
        <w:t>, que contempla las actualizaciones normativas y lineamientos tanto nacionales como distritales.</w:t>
      </w:r>
    </w:p>
    <w:p w14:paraId="13090841" w14:textId="77777777" w:rsidR="008A7E7D" w:rsidRPr="00AE78CA" w:rsidRDefault="008A7E7D" w:rsidP="00907F20">
      <w:pPr>
        <w:pStyle w:val="Default"/>
        <w:jc w:val="both"/>
        <w:rPr>
          <w:color w:val="auto"/>
          <w:sz w:val="22"/>
          <w:szCs w:val="22"/>
        </w:rPr>
      </w:pPr>
    </w:p>
    <w:p w14:paraId="5C8E5963" w14:textId="62E82F91" w:rsidR="008A7E7D" w:rsidRPr="00AE78CA" w:rsidRDefault="008A7E7D" w:rsidP="00907F20">
      <w:pPr>
        <w:pStyle w:val="Default"/>
        <w:jc w:val="both"/>
        <w:rPr>
          <w:color w:val="auto"/>
          <w:sz w:val="22"/>
          <w:szCs w:val="22"/>
        </w:rPr>
      </w:pPr>
      <w:r w:rsidRPr="00AE78CA">
        <w:rPr>
          <w:color w:val="auto"/>
          <w:sz w:val="22"/>
          <w:szCs w:val="22"/>
        </w:rPr>
        <w:t>La Resolución 0652 del 20</w:t>
      </w:r>
      <w:r w:rsidR="00B17D49" w:rsidRPr="00AE78CA">
        <w:rPr>
          <w:color w:val="auto"/>
          <w:sz w:val="22"/>
          <w:szCs w:val="22"/>
        </w:rPr>
        <w:t>20</w:t>
      </w:r>
      <w:r w:rsidRPr="00AE78CA">
        <w:rPr>
          <w:color w:val="auto"/>
          <w:sz w:val="22"/>
          <w:szCs w:val="22"/>
        </w:rPr>
        <w:t xml:space="preserve"> define</w:t>
      </w:r>
      <w:r w:rsidR="00B17D49" w:rsidRPr="00AE78CA">
        <w:rPr>
          <w:color w:val="auto"/>
          <w:sz w:val="22"/>
          <w:szCs w:val="22"/>
        </w:rPr>
        <w:t>,</w:t>
      </w:r>
      <w:r w:rsidRPr="00AE78CA">
        <w:rPr>
          <w:color w:val="auto"/>
          <w:sz w:val="22"/>
          <w:szCs w:val="22"/>
        </w:rPr>
        <w:t xml:space="preserve"> entre otros</w:t>
      </w:r>
      <w:r w:rsidR="00B17D49" w:rsidRPr="00AE78CA">
        <w:rPr>
          <w:color w:val="auto"/>
          <w:sz w:val="22"/>
          <w:szCs w:val="22"/>
        </w:rPr>
        <w:t>,</w:t>
      </w:r>
      <w:r w:rsidRPr="00AE78CA">
        <w:rPr>
          <w:color w:val="auto"/>
          <w:sz w:val="22"/>
          <w:szCs w:val="22"/>
        </w:rPr>
        <w:t xml:space="preserve"> lo siguiente: </w:t>
      </w:r>
      <w:r w:rsidRPr="00AE78CA">
        <w:rPr>
          <w:b/>
          <w:color w:val="auto"/>
          <w:sz w:val="22"/>
          <w:szCs w:val="22"/>
        </w:rPr>
        <w:t xml:space="preserve">“ARTÍCULO PRIMERO. - RESPONSABLES DEL SISTEMA INTEGRADO DE GESTIÓN: </w:t>
      </w:r>
      <w:r w:rsidRPr="00AE78CA">
        <w:rPr>
          <w:color w:val="auto"/>
          <w:sz w:val="22"/>
          <w:szCs w:val="22"/>
        </w:rPr>
        <w:t xml:space="preserve"> 2. Los jefes de las diferentes dependencias, asesores o quien haga sus veces, dentro del rol que les corresponde y las funciones a su cargo. como responsables de los planes, programas, proyectos y/o procesos, deben cumplir y promover el cumplimiento de las políticas de gestión y desempeño y del componente ambiental inmersos en las dimensiones Modelo Integrado de Planeación y Gestión (MIPG), en el marco de sus competencias y su nivel de responsabilidad, y generar las recomendaciones de mejoramiento que estimen pertinentes, en ejercicio del autocontrol. 3. La Dirección de Análisis y Diseño Estratégico, es la encargada de coordinar, orientar y promover la articulación de los actores institucionales para la óptima implementación del Sistema Integrado de Gestión y su marco dele referencia el Modelo Integrado de Planeación y Gestión (MIPG</w:t>
      </w:r>
      <w:r w:rsidRPr="00AD0CE6">
        <w:rPr>
          <w:color w:val="auto"/>
          <w:sz w:val="22"/>
          <w:szCs w:val="22"/>
        </w:rPr>
        <w:t>). PARÁGRAFO SEGUNDO: La Subdirección de Diseño, Evaluación y Sistematización, como líder de la Política de Gestión y Desempeño Institucional denominada Control interno, será la dependencia responsable para la implementación y sostenibilidad del Modelo Estándar de Control Interno en la Secretaría Distrital de Integración Social…”</w:t>
      </w:r>
    </w:p>
    <w:p w14:paraId="5C081882" w14:textId="77777777" w:rsidR="008A7E7D" w:rsidRPr="00AE78CA" w:rsidRDefault="008A7E7D" w:rsidP="00907F20">
      <w:pPr>
        <w:pStyle w:val="Default"/>
        <w:jc w:val="both"/>
        <w:rPr>
          <w:color w:val="auto"/>
          <w:sz w:val="22"/>
          <w:szCs w:val="22"/>
        </w:rPr>
      </w:pPr>
    </w:p>
    <w:p w14:paraId="3DA1227F" w14:textId="77777777" w:rsidR="008A7E7D" w:rsidRPr="00AE78CA" w:rsidRDefault="008A7E7D" w:rsidP="00907F20">
      <w:pPr>
        <w:pStyle w:val="Default"/>
        <w:jc w:val="both"/>
        <w:rPr>
          <w:color w:val="auto"/>
          <w:sz w:val="22"/>
          <w:szCs w:val="22"/>
        </w:rPr>
      </w:pPr>
      <w:r w:rsidRPr="00AE78CA">
        <w:rPr>
          <w:color w:val="auto"/>
          <w:sz w:val="22"/>
          <w:szCs w:val="22"/>
        </w:rPr>
        <w:t>De acuerdo con la resolución en mención a continuación, se relacionan las dependencias líderes de las políticas de gestión y desempeño y del componente ambiental.</w:t>
      </w:r>
    </w:p>
    <w:p w14:paraId="69B531DC" w14:textId="77777777" w:rsidR="008A7E7D" w:rsidRPr="00907F20" w:rsidRDefault="008A7E7D" w:rsidP="00907F20">
      <w:pPr>
        <w:pStyle w:val="Default"/>
        <w:jc w:val="both"/>
        <w:rPr>
          <w:rFonts w:asciiTheme="minorHAnsi" w:hAnsiTheme="minorHAnsi" w:cstheme="minorHAnsi"/>
          <w:color w:val="auto"/>
        </w:rPr>
      </w:pPr>
    </w:p>
    <w:tbl>
      <w:tblPr>
        <w:tblStyle w:val="Tablaconcuadrcula"/>
        <w:tblW w:w="8079" w:type="dxa"/>
        <w:tblInd w:w="421" w:type="dxa"/>
        <w:tblLook w:val="04A0" w:firstRow="1" w:lastRow="0" w:firstColumn="1" w:lastColumn="0" w:noHBand="0" w:noVBand="1"/>
      </w:tblPr>
      <w:tblGrid>
        <w:gridCol w:w="4252"/>
        <w:gridCol w:w="3827"/>
      </w:tblGrid>
      <w:tr w:rsidR="008A7E7D" w14:paraId="67626C1B" w14:textId="77777777" w:rsidTr="0026044E">
        <w:trPr>
          <w:tblHeader/>
        </w:trPr>
        <w:tc>
          <w:tcPr>
            <w:tcW w:w="4252" w:type="dxa"/>
            <w:shd w:val="clear" w:color="auto" w:fill="FF8427" w:themeFill="accent4"/>
            <w:vAlign w:val="center"/>
          </w:tcPr>
          <w:p w14:paraId="6746A8F3" w14:textId="77777777" w:rsidR="008A7E7D" w:rsidRPr="00907F20" w:rsidRDefault="008A7E7D">
            <w:pPr>
              <w:pStyle w:val="Default"/>
              <w:jc w:val="center"/>
              <w:rPr>
                <w:b/>
                <w:color w:val="auto"/>
                <w:sz w:val="20"/>
                <w:szCs w:val="20"/>
              </w:rPr>
            </w:pPr>
            <w:r w:rsidRPr="00907F20">
              <w:rPr>
                <w:b/>
                <w:color w:val="auto"/>
                <w:sz w:val="20"/>
                <w:szCs w:val="20"/>
              </w:rPr>
              <w:t>Política de gestión y desempeño</w:t>
            </w:r>
          </w:p>
        </w:tc>
        <w:tc>
          <w:tcPr>
            <w:tcW w:w="3827" w:type="dxa"/>
            <w:shd w:val="clear" w:color="auto" w:fill="FF8427" w:themeFill="accent4"/>
          </w:tcPr>
          <w:p w14:paraId="1CCC5EED" w14:textId="77777777" w:rsidR="008A7E7D" w:rsidRPr="00907F20" w:rsidRDefault="008A7E7D" w:rsidP="00C60B2D">
            <w:pPr>
              <w:pStyle w:val="Default"/>
              <w:jc w:val="center"/>
              <w:rPr>
                <w:b/>
                <w:color w:val="auto"/>
                <w:sz w:val="20"/>
                <w:szCs w:val="20"/>
              </w:rPr>
            </w:pPr>
            <w:r w:rsidRPr="00907F20">
              <w:rPr>
                <w:b/>
                <w:color w:val="auto"/>
                <w:sz w:val="20"/>
                <w:szCs w:val="20"/>
              </w:rPr>
              <w:t>Dependencia líder de la implementación</w:t>
            </w:r>
          </w:p>
        </w:tc>
      </w:tr>
      <w:tr w:rsidR="008A7E7D" w:rsidRPr="00F968C4" w14:paraId="3831AECF" w14:textId="77777777" w:rsidTr="0026044E">
        <w:trPr>
          <w:trHeight w:val="510"/>
        </w:trPr>
        <w:tc>
          <w:tcPr>
            <w:tcW w:w="4252" w:type="dxa"/>
            <w:vAlign w:val="center"/>
          </w:tcPr>
          <w:p w14:paraId="45DA48FC" w14:textId="77777777" w:rsidR="008A7E7D" w:rsidRPr="00907F20" w:rsidRDefault="008A7E7D" w:rsidP="004538C0">
            <w:pPr>
              <w:pStyle w:val="Default"/>
              <w:rPr>
                <w:color w:val="auto"/>
                <w:sz w:val="20"/>
                <w:szCs w:val="20"/>
              </w:rPr>
            </w:pPr>
            <w:r w:rsidRPr="00907F20">
              <w:rPr>
                <w:color w:val="auto"/>
                <w:sz w:val="20"/>
                <w:szCs w:val="20"/>
              </w:rPr>
              <w:t>Gestión estratégica del talento humano</w:t>
            </w:r>
          </w:p>
        </w:tc>
        <w:tc>
          <w:tcPr>
            <w:tcW w:w="3827" w:type="dxa"/>
            <w:vAlign w:val="center"/>
          </w:tcPr>
          <w:p w14:paraId="622ECB14" w14:textId="77777777" w:rsidR="008A7E7D" w:rsidRPr="00907F20" w:rsidRDefault="008A7E7D" w:rsidP="004538C0">
            <w:pPr>
              <w:pStyle w:val="Default"/>
              <w:rPr>
                <w:color w:val="auto"/>
                <w:sz w:val="20"/>
                <w:szCs w:val="20"/>
              </w:rPr>
            </w:pPr>
            <w:r w:rsidRPr="00907F20">
              <w:rPr>
                <w:color w:val="auto"/>
                <w:sz w:val="20"/>
                <w:szCs w:val="20"/>
              </w:rPr>
              <w:t>Subdirección de Gestión y Desarrollo del Talento Humano</w:t>
            </w:r>
          </w:p>
        </w:tc>
      </w:tr>
      <w:tr w:rsidR="008A7E7D" w:rsidRPr="00F968C4" w14:paraId="378E3991" w14:textId="77777777" w:rsidTr="0026044E">
        <w:trPr>
          <w:trHeight w:val="510"/>
        </w:trPr>
        <w:tc>
          <w:tcPr>
            <w:tcW w:w="4252" w:type="dxa"/>
            <w:vAlign w:val="center"/>
          </w:tcPr>
          <w:p w14:paraId="650C0E4B" w14:textId="77777777" w:rsidR="008A7E7D" w:rsidRPr="00907F20" w:rsidRDefault="008A7E7D" w:rsidP="004538C0">
            <w:pPr>
              <w:pStyle w:val="Default"/>
              <w:rPr>
                <w:color w:val="auto"/>
                <w:sz w:val="20"/>
                <w:szCs w:val="20"/>
                <w:lang w:val="es-CO"/>
              </w:rPr>
            </w:pPr>
            <w:r w:rsidRPr="00907F20">
              <w:rPr>
                <w:color w:val="auto"/>
                <w:sz w:val="20"/>
                <w:szCs w:val="20"/>
                <w:lang w:val="es-CO"/>
              </w:rPr>
              <w:t>Integridad</w:t>
            </w:r>
          </w:p>
        </w:tc>
        <w:tc>
          <w:tcPr>
            <w:tcW w:w="3827" w:type="dxa"/>
            <w:vAlign w:val="center"/>
          </w:tcPr>
          <w:p w14:paraId="1A8D3DF2" w14:textId="77777777" w:rsidR="008A7E7D" w:rsidRPr="00907F20" w:rsidRDefault="008A7E7D" w:rsidP="004538C0">
            <w:pPr>
              <w:pStyle w:val="Default"/>
              <w:rPr>
                <w:color w:val="auto"/>
                <w:sz w:val="20"/>
                <w:szCs w:val="20"/>
              </w:rPr>
            </w:pPr>
            <w:r w:rsidRPr="00907F20">
              <w:rPr>
                <w:color w:val="auto"/>
                <w:sz w:val="20"/>
                <w:szCs w:val="20"/>
              </w:rPr>
              <w:t>Subdirección de Gestión y Desarrollo del Talento Humano</w:t>
            </w:r>
          </w:p>
        </w:tc>
      </w:tr>
      <w:tr w:rsidR="008A7E7D" w:rsidRPr="00F968C4" w14:paraId="2BD741AF" w14:textId="77777777" w:rsidTr="0026044E">
        <w:trPr>
          <w:trHeight w:val="510"/>
        </w:trPr>
        <w:tc>
          <w:tcPr>
            <w:tcW w:w="4252" w:type="dxa"/>
            <w:vAlign w:val="center"/>
          </w:tcPr>
          <w:p w14:paraId="6643428B" w14:textId="77777777" w:rsidR="008A7E7D" w:rsidRPr="00907F20" w:rsidRDefault="008A7E7D" w:rsidP="004538C0">
            <w:pPr>
              <w:pStyle w:val="Default"/>
              <w:rPr>
                <w:color w:val="auto"/>
                <w:sz w:val="20"/>
                <w:szCs w:val="20"/>
              </w:rPr>
            </w:pPr>
            <w:r w:rsidRPr="00907F20">
              <w:rPr>
                <w:color w:val="auto"/>
                <w:sz w:val="20"/>
                <w:szCs w:val="20"/>
              </w:rPr>
              <w:t>Planeación institucional</w:t>
            </w:r>
          </w:p>
        </w:tc>
        <w:tc>
          <w:tcPr>
            <w:tcW w:w="3827" w:type="dxa"/>
            <w:vAlign w:val="center"/>
          </w:tcPr>
          <w:p w14:paraId="3D5CCAA7" w14:textId="77777777" w:rsidR="008A7E7D" w:rsidRPr="00907F20" w:rsidRDefault="008A7E7D" w:rsidP="004538C0">
            <w:pPr>
              <w:pStyle w:val="Default"/>
              <w:rPr>
                <w:color w:val="auto"/>
                <w:sz w:val="20"/>
                <w:szCs w:val="20"/>
              </w:rPr>
            </w:pPr>
            <w:r w:rsidRPr="00907F20">
              <w:rPr>
                <w:color w:val="auto"/>
                <w:sz w:val="20"/>
                <w:szCs w:val="20"/>
              </w:rPr>
              <w:t>Dirección de Análisis y Diseño Estratégico</w:t>
            </w:r>
          </w:p>
        </w:tc>
      </w:tr>
      <w:tr w:rsidR="008A7E7D" w:rsidRPr="00F968C4" w14:paraId="7F306782" w14:textId="77777777" w:rsidTr="0026044E">
        <w:trPr>
          <w:trHeight w:val="1020"/>
        </w:trPr>
        <w:tc>
          <w:tcPr>
            <w:tcW w:w="4252" w:type="dxa"/>
            <w:vAlign w:val="center"/>
          </w:tcPr>
          <w:p w14:paraId="7BFFA851" w14:textId="77777777" w:rsidR="008A7E7D" w:rsidRPr="00907F20" w:rsidRDefault="008A7E7D" w:rsidP="004538C0">
            <w:pPr>
              <w:pStyle w:val="Default"/>
              <w:rPr>
                <w:color w:val="auto"/>
                <w:sz w:val="20"/>
                <w:szCs w:val="20"/>
                <w:lang w:val="es-CO"/>
              </w:rPr>
            </w:pPr>
            <w:r w:rsidRPr="00907F20">
              <w:rPr>
                <w:color w:val="auto"/>
                <w:sz w:val="20"/>
                <w:szCs w:val="20"/>
                <w:lang w:val="es-CO"/>
              </w:rPr>
              <w:t>Gestión presupuestal y eficiencia del gasto público</w:t>
            </w:r>
          </w:p>
        </w:tc>
        <w:tc>
          <w:tcPr>
            <w:tcW w:w="3827" w:type="dxa"/>
            <w:vAlign w:val="center"/>
          </w:tcPr>
          <w:p w14:paraId="19E93226" w14:textId="77777777" w:rsidR="008A7E7D" w:rsidRPr="00907F20" w:rsidRDefault="008A7E7D" w:rsidP="004538C0">
            <w:pPr>
              <w:pStyle w:val="Default"/>
              <w:rPr>
                <w:color w:val="auto"/>
                <w:sz w:val="20"/>
                <w:szCs w:val="20"/>
                <w:lang w:val="es-CO"/>
              </w:rPr>
            </w:pPr>
            <w:r w:rsidRPr="00907F20">
              <w:rPr>
                <w:color w:val="auto"/>
                <w:sz w:val="20"/>
                <w:szCs w:val="20"/>
                <w:lang w:val="es-CO"/>
              </w:rPr>
              <w:t>Subdirección Administrativa y Financiera</w:t>
            </w:r>
          </w:p>
          <w:p w14:paraId="2235A610" w14:textId="77777777" w:rsidR="008A7E7D" w:rsidRPr="00907F20" w:rsidRDefault="008A7E7D" w:rsidP="004538C0">
            <w:pPr>
              <w:pStyle w:val="Default"/>
              <w:rPr>
                <w:color w:val="auto"/>
                <w:sz w:val="20"/>
                <w:szCs w:val="20"/>
                <w:lang w:val="es-CO"/>
              </w:rPr>
            </w:pPr>
            <w:r w:rsidRPr="00907F20">
              <w:rPr>
                <w:color w:val="auto"/>
                <w:sz w:val="20"/>
                <w:szCs w:val="20"/>
                <w:lang w:val="es-CO"/>
              </w:rPr>
              <w:t>Subdirección de Diseño, Evaluación y Sistematización</w:t>
            </w:r>
          </w:p>
        </w:tc>
      </w:tr>
      <w:tr w:rsidR="008A7E7D" w:rsidRPr="00F968C4" w14:paraId="46B6E099" w14:textId="77777777" w:rsidTr="0026044E">
        <w:trPr>
          <w:trHeight w:val="510"/>
        </w:trPr>
        <w:tc>
          <w:tcPr>
            <w:tcW w:w="4252" w:type="dxa"/>
            <w:vAlign w:val="center"/>
          </w:tcPr>
          <w:p w14:paraId="7EFFF32A" w14:textId="77777777" w:rsidR="008A7E7D" w:rsidRPr="00907F20" w:rsidRDefault="008A7E7D" w:rsidP="004538C0">
            <w:pPr>
              <w:pStyle w:val="Default"/>
              <w:rPr>
                <w:color w:val="auto"/>
                <w:sz w:val="20"/>
                <w:szCs w:val="20"/>
                <w:lang w:val="es-CO"/>
              </w:rPr>
            </w:pPr>
            <w:r w:rsidRPr="00907F20">
              <w:rPr>
                <w:color w:val="auto"/>
                <w:sz w:val="20"/>
                <w:szCs w:val="20"/>
                <w:lang w:val="es-CO"/>
              </w:rPr>
              <w:t>Fortalecimiento organizacional y simplificación de procesos</w:t>
            </w:r>
          </w:p>
        </w:tc>
        <w:tc>
          <w:tcPr>
            <w:tcW w:w="3827" w:type="dxa"/>
            <w:vAlign w:val="center"/>
          </w:tcPr>
          <w:p w14:paraId="3C2085B9" w14:textId="77777777" w:rsidR="008A7E7D" w:rsidRPr="00907F20" w:rsidRDefault="008A7E7D" w:rsidP="004538C0">
            <w:pPr>
              <w:pStyle w:val="Default"/>
              <w:rPr>
                <w:color w:val="auto"/>
                <w:sz w:val="20"/>
                <w:szCs w:val="20"/>
                <w:lang w:val="es-CO"/>
              </w:rPr>
            </w:pPr>
            <w:r w:rsidRPr="00907F20">
              <w:rPr>
                <w:color w:val="auto"/>
                <w:sz w:val="20"/>
                <w:szCs w:val="20"/>
                <w:lang w:val="es-CO"/>
              </w:rPr>
              <w:t>Dirección de Gestión Corporativa</w:t>
            </w:r>
          </w:p>
        </w:tc>
      </w:tr>
      <w:tr w:rsidR="008A7E7D" w:rsidRPr="00F968C4" w14:paraId="0816A696" w14:textId="77777777" w:rsidTr="0026044E">
        <w:trPr>
          <w:trHeight w:val="510"/>
        </w:trPr>
        <w:tc>
          <w:tcPr>
            <w:tcW w:w="4252" w:type="dxa"/>
            <w:vAlign w:val="center"/>
          </w:tcPr>
          <w:p w14:paraId="70D337FA" w14:textId="77777777" w:rsidR="008A7E7D" w:rsidRPr="00907F20" w:rsidRDefault="008A7E7D" w:rsidP="004538C0">
            <w:pPr>
              <w:pStyle w:val="Default"/>
              <w:rPr>
                <w:color w:val="auto"/>
                <w:sz w:val="20"/>
                <w:szCs w:val="20"/>
              </w:rPr>
            </w:pPr>
            <w:r w:rsidRPr="00907F20">
              <w:rPr>
                <w:color w:val="auto"/>
                <w:sz w:val="20"/>
                <w:szCs w:val="20"/>
              </w:rPr>
              <w:t>Gobierno digital</w:t>
            </w:r>
          </w:p>
        </w:tc>
        <w:tc>
          <w:tcPr>
            <w:tcW w:w="3827" w:type="dxa"/>
            <w:vAlign w:val="center"/>
          </w:tcPr>
          <w:p w14:paraId="72176F53" w14:textId="77777777" w:rsidR="008A7E7D" w:rsidRPr="00907F20" w:rsidRDefault="008A7E7D" w:rsidP="004538C0">
            <w:pPr>
              <w:pStyle w:val="Default"/>
              <w:rPr>
                <w:color w:val="auto"/>
                <w:sz w:val="20"/>
                <w:szCs w:val="20"/>
              </w:rPr>
            </w:pPr>
            <w:r w:rsidRPr="00907F20">
              <w:rPr>
                <w:color w:val="auto"/>
                <w:sz w:val="20"/>
                <w:szCs w:val="20"/>
              </w:rPr>
              <w:t>Subdirección de Investigación e Información</w:t>
            </w:r>
          </w:p>
        </w:tc>
      </w:tr>
      <w:tr w:rsidR="008A7E7D" w:rsidRPr="00F968C4" w14:paraId="0B0D4069" w14:textId="77777777" w:rsidTr="0026044E">
        <w:trPr>
          <w:trHeight w:val="510"/>
        </w:trPr>
        <w:tc>
          <w:tcPr>
            <w:tcW w:w="4252" w:type="dxa"/>
            <w:vAlign w:val="center"/>
          </w:tcPr>
          <w:p w14:paraId="68017D77" w14:textId="77777777" w:rsidR="008A7E7D" w:rsidRPr="00907F20" w:rsidRDefault="008A7E7D" w:rsidP="004538C0">
            <w:pPr>
              <w:pStyle w:val="Default"/>
              <w:rPr>
                <w:color w:val="auto"/>
                <w:sz w:val="20"/>
                <w:szCs w:val="20"/>
              </w:rPr>
            </w:pPr>
            <w:r w:rsidRPr="00907F20">
              <w:rPr>
                <w:color w:val="auto"/>
                <w:sz w:val="20"/>
                <w:szCs w:val="20"/>
              </w:rPr>
              <w:t>Seguridad digital</w:t>
            </w:r>
          </w:p>
        </w:tc>
        <w:tc>
          <w:tcPr>
            <w:tcW w:w="3827" w:type="dxa"/>
            <w:vAlign w:val="center"/>
          </w:tcPr>
          <w:p w14:paraId="1C37282E" w14:textId="77777777" w:rsidR="008A7E7D" w:rsidRPr="00907F20" w:rsidRDefault="008A7E7D" w:rsidP="004538C0">
            <w:pPr>
              <w:pStyle w:val="Default"/>
              <w:rPr>
                <w:color w:val="auto"/>
                <w:sz w:val="20"/>
                <w:szCs w:val="20"/>
              </w:rPr>
            </w:pPr>
            <w:r w:rsidRPr="00907F20">
              <w:rPr>
                <w:color w:val="auto"/>
                <w:sz w:val="20"/>
                <w:szCs w:val="20"/>
              </w:rPr>
              <w:t>Subdirección de Investigación e Información</w:t>
            </w:r>
          </w:p>
        </w:tc>
      </w:tr>
      <w:tr w:rsidR="008A7E7D" w:rsidRPr="00F968C4" w14:paraId="205313BB" w14:textId="77777777" w:rsidTr="0026044E">
        <w:trPr>
          <w:trHeight w:val="510"/>
        </w:trPr>
        <w:tc>
          <w:tcPr>
            <w:tcW w:w="4252" w:type="dxa"/>
            <w:vAlign w:val="center"/>
          </w:tcPr>
          <w:p w14:paraId="166CAB81" w14:textId="77777777" w:rsidR="008A7E7D" w:rsidRPr="00907F20" w:rsidRDefault="008A7E7D" w:rsidP="004538C0">
            <w:pPr>
              <w:pStyle w:val="Default"/>
              <w:rPr>
                <w:color w:val="auto"/>
                <w:sz w:val="20"/>
                <w:szCs w:val="20"/>
              </w:rPr>
            </w:pPr>
            <w:r w:rsidRPr="00907F20">
              <w:rPr>
                <w:color w:val="auto"/>
                <w:sz w:val="20"/>
                <w:szCs w:val="20"/>
              </w:rPr>
              <w:t>Defensa jurídica</w:t>
            </w:r>
          </w:p>
        </w:tc>
        <w:tc>
          <w:tcPr>
            <w:tcW w:w="3827" w:type="dxa"/>
            <w:vAlign w:val="center"/>
          </w:tcPr>
          <w:p w14:paraId="61FC1F8B" w14:textId="77777777" w:rsidR="008A7E7D" w:rsidRPr="00907F20" w:rsidRDefault="008A7E7D" w:rsidP="004538C0">
            <w:pPr>
              <w:pStyle w:val="Default"/>
              <w:rPr>
                <w:color w:val="auto"/>
                <w:sz w:val="20"/>
                <w:szCs w:val="20"/>
              </w:rPr>
            </w:pPr>
            <w:r w:rsidRPr="00907F20">
              <w:rPr>
                <w:color w:val="auto"/>
                <w:sz w:val="20"/>
                <w:szCs w:val="20"/>
              </w:rPr>
              <w:t>Oficina Asesora Jurídica</w:t>
            </w:r>
          </w:p>
        </w:tc>
      </w:tr>
      <w:tr w:rsidR="008A7E7D" w:rsidRPr="00F968C4" w14:paraId="200CEF5A" w14:textId="77777777" w:rsidTr="0026044E">
        <w:trPr>
          <w:trHeight w:val="510"/>
        </w:trPr>
        <w:tc>
          <w:tcPr>
            <w:tcW w:w="4252" w:type="dxa"/>
            <w:vAlign w:val="center"/>
          </w:tcPr>
          <w:p w14:paraId="2E28A68E" w14:textId="77777777" w:rsidR="008A7E7D" w:rsidRPr="00907F20" w:rsidRDefault="008A7E7D" w:rsidP="004538C0">
            <w:pPr>
              <w:pStyle w:val="Default"/>
              <w:rPr>
                <w:color w:val="auto"/>
                <w:sz w:val="20"/>
                <w:szCs w:val="20"/>
              </w:rPr>
            </w:pPr>
            <w:r w:rsidRPr="00907F20">
              <w:rPr>
                <w:color w:val="auto"/>
                <w:sz w:val="20"/>
                <w:szCs w:val="20"/>
              </w:rPr>
              <w:lastRenderedPageBreak/>
              <w:t>Mejora normativa</w:t>
            </w:r>
          </w:p>
        </w:tc>
        <w:tc>
          <w:tcPr>
            <w:tcW w:w="3827" w:type="dxa"/>
            <w:vAlign w:val="center"/>
          </w:tcPr>
          <w:p w14:paraId="688A6336" w14:textId="77777777" w:rsidR="008A7E7D" w:rsidRPr="00907F20" w:rsidRDefault="008A7E7D" w:rsidP="004538C0">
            <w:pPr>
              <w:pStyle w:val="Default"/>
              <w:rPr>
                <w:color w:val="auto"/>
                <w:sz w:val="20"/>
                <w:szCs w:val="20"/>
              </w:rPr>
            </w:pPr>
            <w:r w:rsidRPr="00907F20">
              <w:rPr>
                <w:color w:val="auto"/>
                <w:sz w:val="20"/>
                <w:szCs w:val="20"/>
              </w:rPr>
              <w:t>Oficina Asesora Jurídica</w:t>
            </w:r>
          </w:p>
        </w:tc>
      </w:tr>
      <w:tr w:rsidR="008A7E7D" w:rsidRPr="00F968C4" w14:paraId="4FE5008A" w14:textId="77777777" w:rsidTr="0026044E">
        <w:trPr>
          <w:trHeight w:val="510"/>
        </w:trPr>
        <w:tc>
          <w:tcPr>
            <w:tcW w:w="4252" w:type="dxa"/>
            <w:vAlign w:val="center"/>
          </w:tcPr>
          <w:p w14:paraId="2B471648" w14:textId="77777777" w:rsidR="008A7E7D" w:rsidRPr="00907F20" w:rsidRDefault="008A7E7D" w:rsidP="004538C0">
            <w:pPr>
              <w:pStyle w:val="Default"/>
              <w:rPr>
                <w:color w:val="auto"/>
                <w:sz w:val="20"/>
                <w:szCs w:val="20"/>
              </w:rPr>
            </w:pPr>
            <w:r w:rsidRPr="00907F20">
              <w:rPr>
                <w:color w:val="auto"/>
                <w:sz w:val="20"/>
                <w:szCs w:val="20"/>
              </w:rPr>
              <w:t>Servicio al ciudadano</w:t>
            </w:r>
          </w:p>
        </w:tc>
        <w:tc>
          <w:tcPr>
            <w:tcW w:w="3827" w:type="dxa"/>
            <w:vAlign w:val="center"/>
          </w:tcPr>
          <w:p w14:paraId="612E7FAD" w14:textId="77777777" w:rsidR="008A7E7D" w:rsidRPr="00907F20" w:rsidRDefault="008A7E7D" w:rsidP="004538C0">
            <w:pPr>
              <w:pStyle w:val="Default"/>
              <w:rPr>
                <w:color w:val="auto"/>
                <w:sz w:val="20"/>
                <w:szCs w:val="20"/>
              </w:rPr>
            </w:pPr>
            <w:r w:rsidRPr="00907F20">
              <w:rPr>
                <w:color w:val="auto"/>
                <w:sz w:val="20"/>
                <w:szCs w:val="20"/>
              </w:rPr>
              <w:t>Subsecretaría</w:t>
            </w:r>
          </w:p>
        </w:tc>
      </w:tr>
      <w:tr w:rsidR="008A7E7D" w:rsidRPr="00F968C4" w14:paraId="0632D9E3" w14:textId="77777777" w:rsidTr="0026044E">
        <w:trPr>
          <w:trHeight w:val="510"/>
        </w:trPr>
        <w:tc>
          <w:tcPr>
            <w:tcW w:w="4252" w:type="dxa"/>
            <w:vAlign w:val="center"/>
          </w:tcPr>
          <w:p w14:paraId="1F528F2B" w14:textId="77777777" w:rsidR="008A7E7D" w:rsidRPr="00907F20" w:rsidRDefault="008A7E7D" w:rsidP="004538C0">
            <w:pPr>
              <w:pStyle w:val="Default"/>
              <w:rPr>
                <w:color w:val="auto"/>
                <w:sz w:val="20"/>
                <w:szCs w:val="20"/>
              </w:rPr>
            </w:pPr>
            <w:r w:rsidRPr="00907F20">
              <w:rPr>
                <w:color w:val="auto"/>
                <w:sz w:val="20"/>
                <w:szCs w:val="20"/>
              </w:rPr>
              <w:t>Racionalización de trámites</w:t>
            </w:r>
          </w:p>
        </w:tc>
        <w:tc>
          <w:tcPr>
            <w:tcW w:w="3827" w:type="dxa"/>
            <w:vAlign w:val="center"/>
          </w:tcPr>
          <w:p w14:paraId="3D4B20B7" w14:textId="77777777" w:rsidR="008A7E7D" w:rsidRPr="00907F20" w:rsidRDefault="008A7E7D" w:rsidP="004538C0">
            <w:pPr>
              <w:pStyle w:val="Default"/>
              <w:rPr>
                <w:color w:val="auto"/>
                <w:sz w:val="20"/>
                <w:szCs w:val="20"/>
              </w:rPr>
            </w:pPr>
            <w:r w:rsidRPr="00907F20">
              <w:rPr>
                <w:color w:val="auto"/>
                <w:sz w:val="20"/>
                <w:szCs w:val="20"/>
              </w:rPr>
              <w:t>Dirección de Análisis y Diseño Estratégico</w:t>
            </w:r>
          </w:p>
        </w:tc>
      </w:tr>
      <w:tr w:rsidR="008A7E7D" w:rsidRPr="00F968C4" w14:paraId="4335C98B" w14:textId="77777777" w:rsidTr="0026044E">
        <w:trPr>
          <w:trHeight w:val="510"/>
        </w:trPr>
        <w:tc>
          <w:tcPr>
            <w:tcW w:w="4252" w:type="dxa"/>
            <w:vAlign w:val="center"/>
          </w:tcPr>
          <w:p w14:paraId="67DD7EED" w14:textId="77777777" w:rsidR="008A7E7D" w:rsidRPr="00907F20" w:rsidRDefault="008A7E7D" w:rsidP="004538C0">
            <w:pPr>
              <w:pStyle w:val="Default"/>
              <w:rPr>
                <w:color w:val="auto"/>
                <w:sz w:val="20"/>
                <w:szCs w:val="20"/>
              </w:rPr>
            </w:pPr>
            <w:r w:rsidRPr="00907F20">
              <w:rPr>
                <w:color w:val="auto"/>
                <w:sz w:val="20"/>
                <w:szCs w:val="20"/>
              </w:rPr>
              <w:t>Participación ciudadana en la gestión pública</w:t>
            </w:r>
          </w:p>
        </w:tc>
        <w:tc>
          <w:tcPr>
            <w:tcW w:w="3827" w:type="dxa"/>
            <w:vAlign w:val="center"/>
          </w:tcPr>
          <w:p w14:paraId="375B4368" w14:textId="77777777" w:rsidR="008A7E7D" w:rsidRPr="00907F20" w:rsidRDefault="008A7E7D" w:rsidP="004538C0">
            <w:pPr>
              <w:pStyle w:val="Default"/>
              <w:rPr>
                <w:color w:val="auto"/>
                <w:sz w:val="20"/>
                <w:szCs w:val="20"/>
              </w:rPr>
            </w:pPr>
            <w:r w:rsidRPr="00907F20">
              <w:rPr>
                <w:color w:val="auto"/>
                <w:sz w:val="20"/>
                <w:szCs w:val="20"/>
              </w:rPr>
              <w:t>Subdirección de Diseño, Evaluación y Sistematización</w:t>
            </w:r>
          </w:p>
        </w:tc>
      </w:tr>
      <w:tr w:rsidR="008A7E7D" w:rsidRPr="00F968C4" w14:paraId="53138C9D" w14:textId="77777777" w:rsidTr="0026044E">
        <w:trPr>
          <w:trHeight w:val="510"/>
        </w:trPr>
        <w:tc>
          <w:tcPr>
            <w:tcW w:w="4252" w:type="dxa"/>
            <w:vAlign w:val="center"/>
          </w:tcPr>
          <w:p w14:paraId="0181AE65" w14:textId="77777777" w:rsidR="008A7E7D" w:rsidRPr="00907F20" w:rsidRDefault="008A7E7D" w:rsidP="004538C0">
            <w:pPr>
              <w:pStyle w:val="Default"/>
              <w:rPr>
                <w:color w:val="auto"/>
                <w:sz w:val="20"/>
                <w:szCs w:val="20"/>
              </w:rPr>
            </w:pPr>
            <w:r w:rsidRPr="00907F20">
              <w:rPr>
                <w:color w:val="auto"/>
                <w:sz w:val="20"/>
                <w:szCs w:val="20"/>
              </w:rPr>
              <w:t>Seguimiento y evaluación del desempeño institucional</w:t>
            </w:r>
          </w:p>
        </w:tc>
        <w:tc>
          <w:tcPr>
            <w:tcW w:w="3827" w:type="dxa"/>
            <w:vAlign w:val="center"/>
          </w:tcPr>
          <w:p w14:paraId="670C0473" w14:textId="77777777" w:rsidR="008A7E7D" w:rsidRPr="00907F20" w:rsidRDefault="008A7E7D" w:rsidP="004538C0">
            <w:pPr>
              <w:pStyle w:val="Default"/>
              <w:rPr>
                <w:color w:val="auto"/>
                <w:sz w:val="20"/>
                <w:szCs w:val="20"/>
              </w:rPr>
            </w:pPr>
            <w:r w:rsidRPr="00907F20">
              <w:rPr>
                <w:color w:val="auto"/>
                <w:sz w:val="20"/>
                <w:szCs w:val="20"/>
              </w:rPr>
              <w:t>Subdirección de Diseño, Evaluación y Sistematización</w:t>
            </w:r>
          </w:p>
        </w:tc>
      </w:tr>
      <w:tr w:rsidR="008A7E7D" w:rsidRPr="00F968C4" w14:paraId="7A4E2D11" w14:textId="77777777" w:rsidTr="0026044E">
        <w:trPr>
          <w:trHeight w:val="510"/>
        </w:trPr>
        <w:tc>
          <w:tcPr>
            <w:tcW w:w="4252" w:type="dxa"/>
            <w:vAlign w:val="center"/>
          </w:tcPr>
          <w:p w14:paraId="30064A5D" w14:textId="77777777" w:rsidR="008A7E7D" w:rsidRPr="00907F20" w:rsidRDefault="008A7E7D" w:rsidP="004538C0">
            <w:pPr>
              <w:pStyle w:val="Default"/>
              <w:rPr>
                <w:color w:val="auto"/>
                <w:sz w:val="20"/>
                <w:szCs w:val="20"/>
              </w:rPr>
            </w:pPr>
            <w:r w:rsidRPr="00907F20">
              <w:rPr>
                <w:color w:val="auto"/>
                <w:sz w:val="20"/>
                <w:szCs w:val="20"/>
              </w:rPr>
              <w:t>Gestión documental</w:t>
            </w:r>
          </w:p>
        </w:tc>
        <w:tc>
          <w:tcPr>
            <w:tcW w:w="3827" w:type="dxa"/>
            <w:vAlign w:val="center"/>
          </w:tcPr>
          <w:p w14:paraId="7C5F97C4" w14:textId="77777777" w:rsidR="008A7E7D" w:rsidRPr="00907F20" w:rsidRDefault="008A7E7D" w:rsidP="004538C0">
            <w:pPr>
              <w:pStyle w:val="Default"/>
              <w:rPr>
                <w:color w:val="auto"/>
                <w:sz w:val="20"/>
                <w:szCs w:val="20"/>
              </w:rPr>
            </w:pPr>
            <w:r w:rsidRPr="00907F20">
              <w:rPr>
                <w:color w:val="auto"/>
                <w:sz w:val="20"/>
                <w:szCs w:val="20"/>
              </w:rPr>
              <w:t>Subdirección Administrativa y Financiera</w:t>
            </w:r>
          </w:p>
        </w:tc>
      </w:tr>
      <w:tr w:rsidR="008A7E7D" w:rsidRPr="00F968C4" w14:paraId="7E47254C" w14:textId="77777777" w:rsidTr="0026044E">
        <w:trPr>
          <w:trHeight w:val="510"/>
        </w:trPr>
        <w:tc>
          <w:tcPr>
            <w:tcW w:w="4252" w:type="dxa"/>
            <w:vAlign w:val="center"/>
          </w:tcPr>
          <w:p w14:paraId="2423D08D" w14:textId="77777777" w:rsidR="008A7E7D" w:rsidRPr="00907F20" w:rsidRDefault="008A7E7D" w:rsidP="004538C0">
            <w:pPr>
              <w:pStyle w:val="Default"/>
              <w:rPr>
                <w:color w:val="auto"/>
                <w:sz w:val="20"/>
                <w:szCs w:val="20"/>
              </w:rPr>
            </w:pPr>
            <w:r w:rsidRPr="00907F20">
              <w:rPr>
                <w:color w:val="auto"/>
                <w:sz w:val="20"/>
                <w:szCs w:val="20"/>
              </w:rPr>
              <w:t>Transparencia, acceso a la información pública y lucha contra la corrupción</w:t>
            </w:r>
          </w:p>
        </w:tc>
        <w:tc>
          <w:tcPr>
            <w:tcW w:w="3827" w:type="dxa"/>
            <w:vAlign w:val="center"/>
          </w:tcPr>
          <w:p w14:paraId="0D046FF1" w14:textId="77777777" w:rsidR="008A7E7D" w:rsidRPr="00907F20" w:rsidRDefault="008A7E7D" w:rsidP="004538C0">
            <w:pPr>
              <w:pStyle w:val="Default"/>
              <w:rPr>
                <w:color w:val="auto"/>
                <w:sz w:val="20"/>
                <w:szCs w:val="20"/>
              </w:rPr>
            </w:pPr>
            <w:r w:rsidRPr="00907F20">
              <w:rPr>
                <w:color w:val="auto"/>
                <w:sz w:val="20"/>
                <w:szCs w:val="20"/>
              </w:rPr>
              <w:t>Subsecretaría</w:t>
            </w:r>
          </w:p>
        </w:tc>
      </w:tr>
      <w:tr w:rsidR="008A7E7D" w:rsidRPr="00F968C4" w14:paraId="1F8F9B0F" w14:textId="77777777" w:rsidTr="0026044E">
        <w:trPr>
          <w:trHeight w:val="510"/>
        </w:trPr>
        <w:tc>
          <w:tcPr>
            <w:tcW w:w="4252" w:type="dxa"/>
            <w:vAlign w:val="center"/>
          </w:tcPr>
          <w:p w14:paraId="0A6ED005" w14:textId="77777777" w:rsidR="008A7E7D" w:rsidRPr="00907F20" w:rsidRDefault="008A7E7D" w:rsidP="004538C0">
            <w:pPr>
              <w:pStyle w:val="Default"/>
              <w:rPr>
                <w:color w:val="auto"/>
                <w:sz w:val="20"/>
                <w:szCs w:val="20"/>
              </w:rPr>
            </w:pPr>
            <w:r w:rsidRPr="00907F20">
              <w:rPr>
                <w:color w:val="auto"/>
                <w:sz w:val="20"/>
                <w:szCs w:val="20"/>
              </w:rPr>
              <w:t>Gestión de la información estadística</w:t>
            </w:r>
          </w:p>
        </w:tc>
        <w:tc>
          <w:tcPr>
            <w:tcW w:w="3827" w:type="dxa"/>
            <w:vAlign w:val="center"/>
          </w:tcPr>
          <w:p w14:paraId="582F0996" w14:textId="77777777" w:rsidR="008A7E7D" w:rsidRPr="00907F20" w:rsidRDefault="008A7E7D" w:rsidP="004538C0">
            <w:pPr>
              <w:pStyle w:val="Default"/>
              <w:rPr>
                <w:color w:val="auto"/>
                <w:sz w:val="20"/>
                <w:szCs w:val="20"/>
              </w:rPr>
            </w:pPr>
            <w:r w:rsidRPr="00907F20">
              <w:rPr>
                <w:color w:val="auto"/>
                <w:sz w:val="20"/>
                <w:szCs w:val="20"/>
              </w:rPr>
              <w:t>Dirección de Análisis y Diseño Estratégico</w:t>
            </w:r>
          </w:p>
        </w:tc>
      </w:tr>
      <w:tr w:rsidR="008A7E7D" w:rsidRPr="00F968C4" w14:paraId="4CAFD6EC" w14:textId="77777777" w:rsidTr="0026044E">
        <w:trPr>
          <w:trHeight w:val="510"/>
        </w:trPr>
        <w:tc>
          <w:tcPr>
            <w:tcW w:w="4252" w:type="dxa"/>
            <w:vAlign w:val="center"/>
          </w:tcPr>
          <w:p w14:paraId="633C4093" w14:textId="77777777" w:rsidR="008A7E7D" w:rsidRPr="00907F20" w:rsidRDefault="008A7E7D" w:rsidP="004538C0">
            <w:pPr>
              <w:pStyle w:val="Default"/>
              <w:rPr>
                <w:color w:val="auto"/>
                <w:sz w:val="20"/>
                <w:szCs w:val="20"/>
              </w:rPr>
            </w:pPr>
            <w:r w:rsidRPr="00907F20">
              <w:rPr>
                <w:color w:val="auto"/>
                <w:sz w:val="20"/>
                <w:szCs w:val="20"/>
              </w:rPr>
              <w:t>Gestión del conocimiento y la innovación</w:t>
            </w:r>
          </w:p>
        </w:tc>
        <w:tc>
          <w:tcPr>
            <w:tcW w:w="3827" w:type="dxa"/>
            <w:vAlign w:val="center"/>
          </w:tcPr>
          <w:p w14:paraId="1986351A" w14:textId="77777777" w:rsidR="008A7E7D" w:rsidRPr="00907F20" w:rsidRDefault="008A7E7D" w:rsidP="004538C0">
            <w:pPr>
              <w:pStyle w:val="Default"/>
              <w:rPr>
                <w:color w:val="auto"/>
                <w:sz w:val="20"/>
                <w:szCs w:val="20"/>
              </w:rPr>
            </w:pPr>
            <w:r w:rsidRPr="00907F20">
              <w:rPr>
                <w:color w:val="auto"/>
                <w:sz w:val="20"/>
                <w:szCs w:val="20"/>
              </w:rPr>
              <w:t>Dirección de Análisis y Diseño Estratégico</w:t>
            </w:r>
          </w:p>
        </w:tc>
      </w:tr>
      <w:tr w:rsidR="008A7E7D" w:rsidRPr="00F968C4" w14:paraId="61745519" w14:textId="77777777" w:rsidTr="0026044E">
        <w:trPr>
          <w:trHeight w:val="510"/>
        </w:trPr>
        <w:tc>
          <w:tcPr>
            <w:tcW w:w="4252" w:type="dxa"/>
            <w:vAlign w:val="center"/>
          </w:tcPr>
          <w:p w14:paraId="10D50995" w14:textId="77777777" w:rsidR="008A7E7D" w:rsidRPr="00907F20" w:rsidRDefault="008A7E7D" w:rsidP="004538C0">
            <w:pPr>
              <w:pStyle w:val="Default"/>
              <w:rPr>
                <w:color w:val="auto"/>
                <w:sz w:val="20"/>
                <w:szCs w:val="20"/>
              </w:rPr>
            </w:pPr>
            <w:r w:rsidRPr="00907F20">
              <w:rPr>
                <w:color w:val="auto"/>
                <w:sz w:val="20"/>
                <w:szCs w:val="20"/>
              </w:rPr>
              <w:t>Control interno</w:t>
            </w:r>
          </w:p>
        </w:tc>
        <w:tc>
          <w:tcPr>
            <w:tcW w:w="3827" w:type="dxa"/>
            <w:vAlign w:val="center"/>
          </w:tcPr>
          <w:p w14:paraId="57DD578B" w14:textId="77777777" w:rsidR="008A7E7D" w:rsidRPr="00907F20" w:rsidRDefault="008A7E7D" w:rsidP="004538C0">
            <w:pPr>
              <w:pStyle w:val="Default"/>
              <w:rPr>
                <w:color w:val="auto"/>
                <w:sz w:val="20"/>
                <w:szCs w:val="20"/>
              </w:rPr>
            </w:pPr>
            <w:r w:rsidRPr="00907F20">
              <w:rPr>
                <w:color w:val="auto"/>
                <w:sz w:val="20"/>
                <w:szCs w:val="20"/>
              </w:rPr>
              <w:t>Subdirección de Diseño, Evaluación y Sistematización</w:t>
            </w:r>
          </w:p>
        </w:tc>
      </w:tr>
    </w:tbl>
    <w:p w14:paraId="46F1859C" w14:textId="3253E134" w:rsidR="008A7E7D" w:rsidRDefault="00345B34" w:rsidP="00A36758">
      <w:pPr>
        <w:pStyle w:val="Default"/>
        <w:ind w:left="426"/>
        <w:jc w:val="center"/>
        <w:rPr>
          <w:rFonts w:asciiTheme="minorHAnsi" w:hAnsiTheme="minorHAnsi" w:cstheme="minorHAnsi"/>
          <w:bCs/>
          <w:color w:val="auto"/>
          <w:sz w:val="18"/>
          <w:szCs w:val="18"/>
        </w:rPr>
      </w:pPr>
      <w:r w:rsidRPr="00A414F9">
        <w:rPr>
          <w:rFonts w:asciiTheme="minorHAnsi" w:hAnsiTheme="minorHAnsi" w:cstheme="minorHAnsi"/>
          <w:b/>
          <w:bCs/>
          <w:color w:val="auto"/>
          <w:sz w:val="20"/>
          <w:szCs w:val="20"/>
        </w:rPr>
        <w:t>Fuente:</w:t>
      </w:r>
      <w:r w:rsidRPr="00345B34">
        <w:rPr>
          <w:rFonts w:asciiTheme="minorHAnsi" w:hAnsiTheme="minorHAnsi" w:cstheme="minorHAnsi"/>
          <w:b/>
          <w:bCs/>
          <w:color w:val="auto"/>
          <w:sz w:val="20"/>
          <w:szCs w:val="20"/>
        </w:rPr>
        <w:t xml:space="preserve"> </w:t>
      </w:r>
      <w:r w:rsidR="000A2719" w:rsidRPr="00A124BC">
        <w:rPr>
          <w:rFonts w:asciiTheme="minorHAnsi" w:hAnsiTheme="minorHAnsi" w:cstheme="minorHAnsi"/>
          <w:bCs/>
          <w:color w:val="auto"/>
          <w:sz w:val="18"/>
          <w:szCs w:val="18"/>
        </w:rPr>
        <w:t>Resolución 0652 de 2020</w:t>
      </w:r>
    </w:p>
    <w:p w14:paraId="56F362A1" w14:textId="77777777" w:rsidR="00A36758" w:rsidRPr="00345B34" w:rsidRDefault="00A36758" w:rsidP="0026044E">
      <w:pPr>
        <w:pStyle w:val="Default"/>
        <w:ind w:left="426"/>
        <w:jc w:val="center"/>
        <w:rPr>
          <w:rFonts w:asciiTheme="minorHAnsi" w:hAnsiTheme="minorHAnsi" w:cstheme="minorHAnsi"/>
          <w:b/>
          <w:bCs/>
          <w:color w:val="auto"/>
          <w:sz w:val="20"/>
          <w:szCs w:val="20"/>
        </w:rPr>
      </w:pPr>
    </w:p>
    <w:tbl>
      <w:tblPr>
        <w:tblStyle w:val="Tablaconcuadrcula"/>
        <w:tblW w:w="8079" w:type="dxa"/>
        <w:tblInd w:w="421" w:type="dxa"/>
        <w:tblLook w:val="04A0" w:firstRow="1" w:lastRow="0" w:firstColumn="1" w:lastColumn="0" w:noHBand="0" w:noVBand="1"/>
      </w:tblPr>
      <w:tblGrid>
        <w:gridCol w:w="4252"/>
        <w:gridCol w:w="3827"/>
      </w:tblGrid>
      <w:tr w:rsidR="008A7E7D" w:rsidRPr="00907F20" w14:paraId="7029DCD7" w14:textId="77777777" w:rsidTr="0026044E">
        <w:trPr>
          <w:trHeight w:val="567"/>
        </w:trPr>
        <w:tc>
          <w:tcPr>
            <w:tcW w:w="4252" w:type="dxa"/>
            <w:shd w:val="clear" w:color="auto" w:fill="FF8427" w:themeFill="accent4"/>
            <w:vAlign w:val="center"/>
          </w:tcPr>
          <w:p w14:paraId="3A9F903B" w14:textId="77777777" w:rsidR="008A7E7D" w:rsidRPr="00907F20" w:rsidRDefault="008A7E7D">
            <w:pPr>
              <w:pStyle w:val="Default"/>
              <w:jc w:val="center"/>
              <w:rPr>
                <w:b/>
                <w:color w:val="auto"/>
                <w:sz w:val="20"/>
                <w:szCs w:val="20"/>
              </w:rPr>
            </w:pPr>
            <w:r w:rsidRPr="00907F20">
              <w:rPr>
                <w:b/>
                <w:color w:val="auto"/>
                <w:sz w:val="20"/>
                <w:szCs w:val="20"/>
              </w:rPr>
              <w:t>Componente</w:t>
            </w:r>
          </w:p>
        </w:tc>
        <w:tc>
          <w:tcPr>
            <w:tcW w:w="3827" w:type="dxa"/>
            <w:shd w:val="clear" w:color="auto" w:fill="FF8427" w:themeFill="accent4"/>
            <w:vAlign w:val="center"/>
          </w:tcPr>
          <w:p w14:paraId="166D0A1E" w14:textId="77777777" w:rsidR="008A7E7D" w:rsidRPr="00907F20" w:rsidRDefault="008A7E7D">
            <w:pPr>
              <w:pStyle w:val="Default"/>
              <w:jc w:val="center"/>
              <w:rPr>
                <w:b/>
                <w:color w:val="auto"/>
                <w:sz w:val="20"/>
                <w:szCs w:val="20"/>
              </w:rPr>
            </w:pPr>
            <w:r w:rsidRPr="00907F20">
              <w:rPr>
                <w:b/>
                <w:color w:val="auto"/>
                <w:sz w:val="20"/>
                <w:szCs w:val="20"/>
              </w:rPr>
              <w:t>Dependencia líder de la implementación</w:t>
            </w:r>
          </w:p>
        </w:tc>
      </w:tr>
      <w:tr w:rsidR="008A7E7D" w:rsidRPr="00907F20" w14:paraId="34BBA842" w14:textId="77777777" w:rsidTr="0026044E">
        <w:trPr>
          <w:trHeight w:val="340"/>
        </w:trPr>
        <w:tc>
          <w:tcPr>
            <w:tcW w:w="4252" w:type="dxa"/>
            <w:vAlign w:val="center"/>
          </w:tcPr>
          <w:p w14:paraId="110A09F0" w14:textId="77777777" w:rsidR="008A7E7D" w:rsidRPr="00907F20" w:rsidRDefault="008A7E7D" w:rsidP="004538C0">
            <w:pPr>
              <w:pStyle w:val="Default"/>
              <w:rPr>
                <w:color w:val="auto"/>
                <w:sz w:val="20"/>
                <w:szCs w:val="20"/>
              </w:rPr>
            </w:pPr>
            <w:r w:rsidRPr="00907F20">
              <w:rPr>
                <w:color w:val="auto"/>
                <w:sz w:val="20"/>
                <w:szCs w:val="20"/>
              </w:rPr>
              <w:t>Componente ambiental</w:t>
            </w:r>
          </w:p>
        </w:tc>
        <w:tc>
          <w:tcPr>
            <w:tcW w:w="3827" w:type="dxa"/>
            <w:vAlign w:val="center"/>
          </w:tcPr>
          <w:p w14:paraId="492BE9F8" w14:textId="77777777" w:rsidR="008A7E7D" w:rsidRPr="00907F20" w:rsidRDefault="008A7E7D" w:rsidP="004538C0">
            <w:pPr>
              <w:pStyle w:val="Default"/>
              <w:rPr>
                <w:color w:val="auto"/>
                <w:sz w:val="20"/>
                <w:szCs w:val="20"/>
              </w:rPr>
            </w:pPr>
            <w:r w:rsidRPr="00907F20">
              <w:rPr>
                <w:color w:val="auto"/>
                <w:sz w:val="20"/>
                <w:szCs w:val="20"/>
              </w:rPr>
              <w:t>Dirección de Gestión Corporativa</w:t>
            </w:r>
          </w:p>
        </w:tc>
      </w:tr>
    </w:tbl>
    <w:p w14:paraId="7EDC4694" w14:textId="583F1B56" w:rsidR="00345B34" w:rsidRPr="00546254" w:rsidRDefault="00345B34" w:rsidP="0026044E">
      <w:pPr>
        <w:pStyle w:val="Default"/>
        <w:ind w:left="426"/>
        <w:jc w:val="center"/>
        <w:rPr>
          <w:b/>
          <w:bCs/>
          <w:color w:val="auto"/>
          <w:sz w:val="16"/>
          <w:szCs w:val="16"/>
        </w:rPr>
      </w:pPr>
      <w:r w:rsidRPr="00546254">
        <w:rPr>
          <w:b/>
          <w:bCs/>
          <w:color w:val="auto"/>
          <w:sz w:val="16"/>
          <w:szCs w:val="16"/>
        </w:rPr>
        <w:t xml:space="preserve">Fuente: </w:t>
      </w:r>
      <w:r w:rsidR="000A2719" w:rsidRPr="00546254">
        <w:rPr>
          <w:bCs/>
          <w:color w:val="auto"/>
          <w:sz w:val="16"/>
          <w:szCs w:val="16"/>
        </w:rPr>
        <w:t>Resolución 0652 de 2020</w:t>
      </w:r>
    </w:p>
    <w:p w14:paraId="1DB5E95B" w14:textId="77777777" w:rsidR="00345B34" w:rsidRPr="00A62D4C" w:rsidRDefault="00345B34" w:rsidP="00345B34">
      <w:pPr>
        <w:pStyle w:val="Default"/>
        <w:jc w:val="both"/>
        <w:rPr>
          <w:color w:val="auto"/>
          <w:sz w:val="22"/>
          <w:szCs w:val="22"/>
        </w:rPr>
      </w:pPr>
    </w:p>
    <w:p w14:paraId="66C61888" w14:textId="77777777" w:rsidR="00345B34" w:rsidRPr="005D33B5" w:rsidRDefault="00345B34" w:rsidP="00345B34">
      <w:pPr>
        <w:pStyle w:val="Default"/>
        <w:jc w:val="both"/>
        <w:rPr>
          <w:b/>
          <w:color w:val="auto"/>
          <w:sz w:val="22"/>
          <w:szCs w:val="22"/>
        </w:rPr>
      </w:pPr>
      <w:r w:rsidRPr="005D33B5">
        <w:rPr>
          <w:b/>
          <w:color w:val="auto"/>
          <w:sz w:val="22"/>
          <w:szCs w:val="22"/>
        </w:rPr>
        <w:t>Plan de ajuste y sostenibilidad MIPG</w:t>
      </w:r>
    </w:p>
    <w:p w14:paraId="58A7F664" w14:textId="77777777" w:rsidR="00345B34" w:rsidRPr="005D33B5" w:rsidRDefault="00345B34" w:rsidP="00345B34">
      <w:pPr>
        <w:pStyle w:val="Default"/>
        <w:jc w:val="both"/>
        <w:rPr>
          <w:color w:val="auto"/>
          <w:sz w:val="22"/>
          <w:szCs w:val="22"/>
        </w:rPr>
      </w:pPr>
    </w:p>
    <w:p w14:paraId="3EA44421" w14:textId="22A9D816" w:rsidR="00345B34" w:rsidRPr="005D33B5" w:rsidRDefault="00345B34" w:rsidP="00345B34">
      <w:pPr>
        <w:pStyle w:val="Default"/>
        <w:jc w:val="both"/>
        <w:rPr>
          <w:color w:val="auto"/>
          <w:sz w:val="22"/>
          <w:szCs w:val="22"/>
        </w:rPr>
      </w:pPr>
      <w:r w:rsidRPr="005D33B5">
        <w:rPr>
          <w:color w:val="auto"/>
          <w:sz w:val="22"/>
          <w:szCs w:val="22"/>
        </w:rPr>
        <w:t xml:space="preserve">A partir de la planeación institucional se han definido productos para avanzar en la implementación y mantenimiento de las políticas de gestión y desempeño y del componente </w:t>
      </w:r>
      <w:r w:rsidRPr="00546254">
        <w:rPr>
          <w:color w:val="auto"/>
          <w:sz w:val="22"/>
          <w:szCs w:val="22"/>
        </w:rPr>
        <w:t>ambiental a través del plan de ajuste y sostenibilidad del MIPG. Plan que hace parte del plan de acción institucional.</w:t>
      </w:r>
    </w:p>
    <w:p w14:paraId="3ED66BBF" w14:textId="77777777" w:rsidR="00345B34" w:rsidRPr="005D33B5" w:rsidRDefault="00345B34" w:rsidP="00345B34">
      <w:pPr>
        <w:pStyle w:val="Default"/>
        <w:jc w:val="both"/>
        <w:rPr>
          <w:color w:val="auto"/>
          <w:sz w:val="22"/>
          <w:szCs w:val="22"/>
        </w:rPr>
      </w:pPr>
    </w:p>
    <w:p w14:paraId="42F05C59" w14:textId="77777777" w:rsidR="00345B34" w:rsidRPr="005D33B5" w:rsidRDefault="00345B34" w:rsidP="00345B34">
      <w:pPr>
        <w:pStyle w:val="Default"/>
        <w:jc w:val="both"/>
        <w:rPr>
          <w:b/>
          <w:color w:val="auto"/>
          <w:sz w:val="22"/>
          <w:szCs w:val="22"/>
        </w:rPr>
      </w:pPr>
      <w:r w:rsidRPr="005D33B5">
        <w:rPr>
          <w:b/>
          <w:color w:val="auto"/>
          <w:sz w:val="22"/>
          <w:szCs w:val="22"/>
        </w:rPr>
        <w:t>Medición</w:t>
      </w:r>
    </w:p>
    <w:p w14:paraId="1A1393A2" w14:textId="77777777" w:rsidR="00345B34" w:rsidRPr="005D33B5" w:rsidRDefault="00345B34" w:rsidP="00345B34">
      <w:pPr>
        <w:pStyle w:val="Default"/>
        <w:jc w:val="both"/>
        <w:rPr>
          <w:b/>
          <w:color w:val="auto"/>
          <w:sz w:val="22"/>
          <w:szCs w:val="22"/>
        </w:rPr>
      </w:pPr>
    </w:p>
    <w:p w14:paraId="7C136465" w14:textId="3662E0D8" w:rsidR="00345B34" w:rsidRPr="005D33B5" w:rsidRDefault="00345B34" w:rsidP="00345B34">
      <w:pPr>
        <w:pStyle w:val="Default"/>
        <w:jc w:val="both"/>
        <w:rPr>
          <w:color w:val="auto"/>
          <w:sz w:val="22"/>
          <w:szCs w:val="22"/>
        </w:rPr>
      </w:pPr>
      <w:r w:rsidRPr="005D33B5">
        <w:rPr>
          <w:color w:val="auto"/>
          <w:sz w:val="22"/>
          <w:szCs w:val="22"/>
        </w:rPr>
        <w:t xml:space="preserve">La medición frente a los avances en el Sistema de Gestión y su marco de referencia Modelo Integrado de Planeación y Gestión – MIPG se ha realizado a través de la actualización de los autodiagnósticos y de la medición del desempeño institucional a través del Formulario único de reporte de avance a la gestión </w:t>
      </w:r>
      <w:r w:rsidR="000F6007" w:rsidRPr="005D33B5">
        <w:rPr>
          <w:color w:val="auto"/>
          <w:sz w:val="22"/>
          <w:szCs w:val="22"/>
        </w:rPr>
        <w:t>-</w:t>
      </w:r>
      <w:r w:rsidRPr="005D33B5">
        <w:rPr>
          <w:color w:val="auto"/>
          <w:sz w:val="22"/>
          <w:szCs w:val="22"/>
        </w:rPr>
        <w:t>FURAG. Los resultados se relacionan a continuación.</w:t>
      </w:r>
    </w:p>
    <w:p w14:paraId="7AD9F16A" w14:textId="3C47C2BD" w:rsidR="00345B34" w:rsidRDefault="00345B34" w:rsidP="00345B34">
      <w:pPr>
        <w:pStyle w:val="Default"/>
        <w:jc w:val="both"/>
        <w:rPr>
          <w:color w:val="auto"/>
          <w:sz w:val="22"/>
          <w:szCs w:val="22"/>
        </w:rPr>
      </w:pPr>
    </w:p>
    <w:p w14:paraId="2806A7B3" w14:textId="225C4C1B" w:rsidR="00DC6288" w:rsidRDefault="00DC6288" w:rsidP="00345B34">
      <w:pPr>
        <w:pStyle w:val="Default"/>
        <w:jc w:val="both"/>
        <w:rPr>
          <w:color w:val="auto"/>
          <w:sz w:val="22"/>
          <w:szCs w:val="22"/>
        </w:rPr>
      </w:pPr>
    </w:p>
    <w:p w14:paraId="49E065A0" w14:textId="77777777" w:rsidR="00DC6288" w:rsidRPr="005D33B5" w:rsidRDefault="00DC6288" w:rsidP="00345B34">
      <w:pPr>
        <w:pStyle w:val="Default"/>
        <w:jc w:val="both"/>
        <w:rPr>
          <w:color w:val="auto"/>
          <w:sz w:val="22"/>
          <w:szCs w:val="22"/>
        </w:rPr>
      </w:pPr>
    </w:p>
    <w:p w14:paraId="160F7A6E" w14:textId="77777777" w:rsidR="00345B34" w:rsidRPr="005D33B5" w:rsidRDefault="00345B34" w:rsidP="00345B34">
      <w:pPr>
        <w:pStyle w:val="Default"/>
        <w:jc w:val="both"/>
        <w:rPr>
          <w:b/>
          <w:color w:val="auto"/>
          <w:sz w:val="22"/>
          <w:szCs w:val="22"/>
        </w:rPr>
      </w:pPr>
      <w:r w:rsidRPr="005D33B5">
        <w:rPr>
          <w:b/>
          <w:color w:val="auto"/>
          <w:sz w:val="22"/>
          <w:szCs w:val="22"/>
        </w:rPr>
        <w:lastRenderedPageBreak/>
        <w:t>Relación resultados autodiagnósticos</w:t>
      </w:r>
    </w:p>
    <w:p w14:paraId="6AD87871" w14:textId="77777777" w:rsidR="00345B34" w:rsidRPr="005D33B5" w:rsidRDefault="00345B34" w:rsidP="00345B34">
      <w:pPr>
        <w:pStyle w:val="Default"/>
        <w:jc w:val="both"/>
        <w:rPr>
          <w:color w:val="auto"/>
          <w:sz w:val="22"/>
          <w:szCs w:val="22"/>
        </w:rPr>
      </w:pPr>
    </w:p>
    <w:p w14:paraId="0D9186E2" w14:textId="77777777" w:rsidR="00345B34" w:rsidRPr="005D33B5" w:rsidRDefault="00345B34" w:rsidP="00345B34">
      <w:pPr>
        <w:pStyle w:val="Default"/>
        <w:jc w:val="both"/>
        <w:rPr>
          <w:color w:val="auto"/>
          <w:sz w:val="22"/>
          <w:szCs w:val="22"/>
        </w:rPr>
      </w:pPr>
      <w:r w:rsidRPr="005D33B5">
        <w:rPr>
          <w:color w:val="auto"/>
          <w:sz w:val="22"/>
          <w:szCs w:val="22"/>
        </w:rPr>
        <w:t xml:space="preserve">Los autodiagnósticos son realizados en las herramientas dispuestas por el Departamento </w:t>
      </w:r>
      <w:r w:rsidRPr="00546254">
        <w:rPr>
          <w:color w:val="auto"/>
          <w:sz w:val="22"/>
          <w:szCs w:val="22"/>
        </w:rPr>
        <w:t>Administrativo para la</w:t>
      </w:r>
      <w:r w:rsidRPr="005D33B5">
        <w:rPr>
          <w:color w:val="auto"/>
          <w:sz w:val="22"/>
          <w:szCs w:val="22"/>
        </w:rPr>
        <w:t xml:space="preserve"> Función Pública y el MinTIC.</w:t>
      </w:r>
    </w:p>
    <w:p w14:paraId="22F03B15" w14:textId="77777777" w:rsidR="00345B34" w:rsidRPr="005D33B5" w:rsidRDefault="00345B34" w:rsidP="00345B34">
      <w:pPr>
        <w:pStyle w:val="Default"/>
        <w:jc w:val="both"/>
        <w:rPr>
          <w:color w:val="auto"/>
          <w:sz w:val="22"/>
          <w:szCs w:val="22"/>
        </w:rPr>
      </w:pPr>
    </w:p>
    <w:tbl>
      <w:tblPr>
        <w:tblStyle w:val="Tablaconcuadrcula"/>
        <w:tblW w:w="0" w:type="auto"/>
        <w:tblLook w:val="04A0" w:firstRow="1" w:lastRow="0" w:firstColumn="1" w:lastColumn="0" w:noHBand="0" w:noVBand="1"/>
      </w:tblPr>
      <w:tblGrid>
        <w:gridCol w:w="3964"/>
        <w:gridCol w:w="1701"/>
        <w:gridCol w:w="3163"/>
      </w:tblGrid>
      <w:tr w:rsidR="00345B34" w14:paraId="5EDD2841" w14:textId="77777777" w:rsidTr="0026044E">
        <w:trPr>
          <w:trHeight w:val="477"/>
          <w:tblHeader/>
        </w:trPr>
        <w:tc>
          <w:tcPr>
            <w:tcW w:w="3964" w:type="dxa"/>
            <w:shd w:val="clear" w:color="auto" w:fill="FF8427" w:themeFill="accent4"/>
            <w:vAlign w:val="center"/>
          </w:tcPr>
          <w:p w14:paraId="75176A32" w14:textId="77777777" w:rsidR="00345B34" w:rsidRPr="00345B34" w:rsidRDefault="00345B34" w:rsidP="00C60B2D">
            <w:pPr>
              <w:pStyle w:val="Default"/>
              <w:jc w:val="center"/>
              <w:rPr>
                <w:b/>
                <w:color w:val="auto"/>
                <w:sz w:val="20"/>
                <w:szCs w:val="20"/>
              </w:rPr>
            </w:pPr>
            <w:r w:rsidRPr="00345B34">
              <w:rPr>
                <w:b/>
                <w:color w:val="auto"/>
                <w:sz w:val="20"/>
                <w:szCs w:val="20"/>
              </w:rPr>
              <w:t>Autodiagnóstico</w:t>
            </w:r>
          </w:p>
        </w:tc>
        <w:tc>
          <w:tcPr>
            <w:tcW w:w="1701" w:type="dxa"/>
            <w:shd w:val="clear" w:color="auto" w:fill="FF8427" w:themeFill="accent4"/>
            <w:vAlign w:val="center"/>
          </w:tcPr>
          <w:p w14:paraId="1E51EAA4" w14:textId="77777777" w:rsidR="00345B34" w:rsidRPr="00345B34" w:rsidRDefault="00345B34" w:rsidP="00C60B2D">
            <w:pPr>
              <w:pStyle w:val="Default"/>
              <w:jc w:val="center"/>
              <w:rPr>
                <w:b/>
                <w:color w:val="auto"/>
                <w:sz w:val="20"/>
                <w:szCs w:val="20"/>
              </w:rPr>
            </w:pPr>
            <w:r w:rsidRPr="00345B34">
              <w:rPr>
                <w:b/>
                <w:color w:val="auto"/>
                <w:sz w:val="20"/>
                <w:szCs w:val="20"/>
              </w:rPr>
              <w:t>Resultado 2018</w:t>
            </w:r>
          </w:p>
        </w:tc>
        <w:tc>
          <w:tcPr>
            <w:tcW w:w="3163" w:type="dxa"/>
            <w:shd w:val="clear" w:color="auto" w:fill="FF8427" w:themeFill="accent4"/>
            <w:vAlign w:val="center"/>
          </w:tcPr>
          <w:p w14:paraId="47A34D66" w14:textId="77777777" w:rsidR="00345B34" w:rsidRPr="00345B34" w:rsidRDefault="00345B34" w:rsidP="00C60B2D">
            <w:pPr>
              <w:pStyle w:val="Default"/>
              <w:jc w:val="center"/>
              <w:rPr>
                <w:b/>
                <w:color w:val="auto"/>
                <w:sz w:val="20"/>
                <w:szCs w:val="20"/>
              </w:rPr>
            </w:pPr>
            <w:r w:rsidRPr="00345B34">
              <w:rPr>
                <w:b/>
                <w:color w:val="auto"/>
                <w:sz w:val="20"/>
                <w:szCs w:val="20"/>
              </w:rPr>
              <w:t>Resultado 2019</w:t>
            </w:r>
          </w:p>
        </w:tc>
      </w:tr>
      <w:tr w:rsidR="00A36758" w14:paraId="35DC079D" w14:textId="77777777" w:rsidTr="0026044E">
        <w:trPr>
          <w:trHeight w:val="567"/>
        </w:trPr>
        <w:tc>
          <w:tcPr>
            <w:tcW w:w="3964" w:type="dxa"/>
            <w:vAlign w:val="center"/>
          </w:tcPr>
          <w:p w14:paraId="655E3C86"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de Gestión Plan Anticorrupción</w:t>
            </w:r>
          </w:p>
        </w:tc>
        <w:tc>
          <w:tcPr>
            <w:tcW w:w="1701" w:type="dxa"/>
            <w:vAlign w:val="center"/>
          </w:tcPr>
          <w:p w14:paraId="6B44C4A2"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98.0</w:t>
            </w:r>
          </w:p>
        </w:tc>
        <w:tc>
          <w:tcPr>
            <w:tcW w:w="3163" w:type="dxa"/>
            <w:vAlign w:val="center"/>
          </w:tcPr>
          <w:p w14:paraId="48386087"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90.0</w:t>
            </w:r>
          </w:p>
        </w:tc>
      </w:tr>
      <w:tr w:rsidR="00A36758" w14:paraId="4EC07B74" w14:textId="77777777" w:rsidTr="0026044E">
        <w:trPr>
          <w:trHeight w:val="567"/>
        </w:trPr>
        <w:tc>
          <w:tcPr>
            <w:tcW w:w="3964" w:type="dxa"/>
            <w:vAlign w:val="center"/>
          </w:tcPr>
          <w:p w14:paraId="551CF371"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de Gestión Estratégica de Talento Humano</w:t>
            </w:r>
          </w:p>
        </w:tc>
        <w:tc>
          <w:tcPr>
            <w:tcW w:w="1701" w:type="dxa"/>
            <w:vAlign w:val="center"/>
          </w:tcPr>
          <w:p w14:paraId="52B414FC"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81.8</w:t>
            </w:r>
          </w:p>
        </w:tc>
        <w:tc>
          <w:tcPr>
            <w:tcW w:w="3163" w:type="dxa"/>
            <w:vAlign w:val="center"/>
          </w:tcPr>
          <w:p w14:paraId="6195E6B4"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81.8</w:t>
            </w:r>
          </w:p>
        </w:tc>
      </w:tr>
      <w:tr w:rsidR="00A36758" w14:paraId="2F48E004" w14:textId="77777777" w:rsidTr="0026044E">
        <w:trPr>
          <w:trHeight w:val="567"/>
        </w:trPr>
        <w:tc>
          <w:tcPr>
            <w:tcW w:w="3964" w:type="dxa"/>
            <w:vAlign w:val="center"/>
          </w:tcPr>
          <w:p w14:paraId="494CF8D7"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de Gestión Política Direccionamiento y Planeación</w:t>
            </w:r>
          </w:p>
        </w:tc>
        <w:tc>
          <w:tcPr>
            <w:tcW w:w="1701" w:type="dxa"/>
            <w:vAlign w:val="center"/>
          </w:tcPr>
          <w:p w14:paraId="28F338EF"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96.9</w:t>
            </w:r>
          </w:p>
        </w:tc>
        <w:tc>
          <w:tcPr>
            <w:tcW w:w="3163" w:type="dxa"/>
            <w:vAlign w:val="center"/>
          </w:tcPr>
          <w:p w14:paraId="15DBE0B9"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99.3</w:t>
            </w:r>
          </w:p>
        </w:tc>
      </w:tr>
      <w:tr w:rsidR="00A36758" w14:paraId="0896DFEC" w14:textId="77777777" w:rsidTr="0026044E">
        <w:trPr>
          <w:trHeight w:val="567"/>
        </w:trPr>
        <w:tc>
          <w:tcPr>
            <w:tcW w:w="3964" w:type="dxa"/>
            <w:vAlign w:val="center"/>
          </w:tcPr>
          <w:p w14:paraId="19C6C5E2"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Política de Gestión Documental</w:t>
            </w:r>
          </w:p>
        </w:tc>
        <w:tc>
          <w:tcPr>
            <w:tcW w:w="1701" w:type="dxa"/>
            <w:vAlign w:val="center"/>
          </w:tcPr>
          <w:p w14:paraId="79A22D10"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76.4</w:t>
            </w:r>
          </w:p>
        </w:tc>
        <w:tc>
          <w:tcPr>
            <w:tcW w:w="3163" w:type="dxa"/>
            <w:vAlign w:val="center"/>
          </w:tcPr>
          <w:p w14:paraId="5DA7C755"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79.8</w:t>
            </w:r>
          </w:p>
        </w:tc>
      </w:tr>
      <w:tr w:rsidR="00A36758" w14:paraId="0C3F6D10" w14:textId="77777777" w:rsidTr="0026044E">
        <w:trPr>
          <w:trHeight w:val="567"/>
        </w:trPr>
        <w:tc>
          <w:tcPr>
            <w:tcW w:w="3964" w:type="dxa"/>
            <w:vAlign w:val="center"/>
          </w:tcPr>
          <w:p w14:paraId="1F19249F"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de Gestión Código de Integridad</w:t>
            </w:r>
          </w:p>
        </w:tc>
        <w:tc>
          <w:tcPr>
            <w:tcW w:w="1701" w:type="dxa"/>
            <w:vAlign w:val="center"/>
          </w:tcPr>
          <w:p w14:paraId="229EB0F8"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62.5</w:t>
            </w:r>
          </w:p>
        </w:tc>
        <w:tc>
          <w:tcPr>
            <w:tcW w:w="3163" w:type="dxa"/>
            <w:vAlign w:val="center"/>
          </w:tcPr>
          <w:p w14:paraId="3CF7DF54"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94.4</w:t>
            </w:r>
          </w:p>
        </w:tc>
      </w:tr>
      <w:tr w:rsidR="00A36758" w14:paraId="1BA74DF1" w14:textId="77777777" w:rsidTr="0026044E">
        <w:trPr>
          <w:trHeight w:val="567"/>
        </w:trPr>
        <w:tc>
          <w:tcPr>
            <w:tcW w:w="3964" w:type="dxa"/>
            <w:vAlign w:val="center"/>
          </w:tcPr>
          <w:p w14:paraId="7847C697"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de Gestión Política de Participación Ciudadana</w:t>
            </w:r>
          </w:p>
        </w:tc>
        <w:tc>
          <w:tcPr>
            <w:tcW w:w="1701" w:type="dxa"/>
            <w:vAlign w:val="center"/>
          </w:tcPr>
          <w:p w14:paraId="749A8F81"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71.5</w:t>
            </w:r>
          </w:p>
        </w:tc>
        <w:tc>
          <w:tcPr>
            <w:tcW w:w="3163" w:type="dxa"/>
            <w:vAlign w:val="center"/>
          </w:tcPr>
          <w:p w14:paraId="6880436B"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77.0</w:t>
            </w:r>
          </w:p>
        </w:tc>
      </w:tr>
      <w:tr w:rsidR="00A36758" w14:paraId="1B78ABDC" w14:textId="77777777" w:rsidTr="0026044E">
        <w:trPr>
          <w:trHeight w:val="567"/>
        </w:trPr>
        <w:tc>
          <w:tcPr>
            <w:tcW w:w="3964" w:type="dxa"/>
            <w:vAlign w:val="center"/>
          </w:tcPr>
          <w:p w14:paraId="7C65E9DE"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Política de Seguimiento y Evaluación del Desempeño Institucional</w:t>
            </w:r>
          </w:p>
        </w:tc>
        <w:tc>
          <w:tcPr>
            <w:tcW w:w="1701" w:type="dxa"/>
            <w:vAlign w:val="center"/>
          </w:tcPr>
          <w:p w14:paraId="6CC9E940"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67.2</w:t>
            </w:r>
          </w:p>
        </w:tc>
        <w:tc>
          <w:tcPr>
            <w:tcW w:w="3163" w:type="dxa"/>
            <w:vAlign w:val="center"/>
          </w:tcPr>
          <w:p w14:paraId="190622FB"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99.0</w:t>
            </w:r>
          </w:p>
        </w:tc>
      </w:tr>
      <w:tr w:rsidR="00A36758" w14:paraId="0631F774" w14:textId="77777777" w:rsidTr="0026044E">
        <w:trPr>
          <w:trHeight w:val="567"/>
        </w:trPr>
        <w:tc>
          <w:tcPr>
            <w:tcW w:w="3964" w:type="dxa"/>
            <w:vAlign w:val="center"/>
          </w:tcPr>
          <w:p w14:paraId="7F65E4FE"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de Gestión Trámites</w:t>
            </w:r>
          </w:p>
        </w:tc>
        <w:tc>
          <w:tcPr>
            <w:tcW w:w="1701" w:type="dxa"/>
            <w:vAlign w:val="center"/>
          </w:tcPr>
          <w:p w14:paraId="030EEED2"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80.5</w:t>
            </w:r>
          </w:p>
        </w:tc>
        <w:tc>
          <w:tcPr>
            <w:tcW w:w="3163" w:type="dxa"/>
            <w:vAlign w:val="center"/>
          </w:tcPr>
          <w:p w14:paraId="6EEC9C38"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88.3</w:t>
            </w:r>
          </w:p>
        </w:tc>
      </w:tr>
      <w:tr w:rsidR="00A36758" w14:paraId="16B2CEE9" w14:textId="77777777" w:rsidTr="0026044E">
        <w:trPr>
          <w:trHeight w:val="567"/>
        </w:trPr>
        <w:tc>
          <w:tcPr>
            <w:tcW w:w="3964" w:type="dxa"/>
            <w:vAlign w:val="center"/>
          </w:tcPr>
          <w:p w14:paraId="45EEBEEF"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de Gestión del Conocimiento y la Innovación</w:t>
            </w:r>
          </w:p>
        </w:tc>
        <w:tc>
          <w:tcPr>
            <w:tcW w:w="1701" w:type="dxa"/>
            <w:vAlign w:val="center"/>
          </w:tcPr>
          <w:p w14:paraId="731FAD97"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No aplica</w:t>
            </w:r>
          </w:p>
        </w:tc>
        <w:tc>
          <w:tcPr>
            <w:tcW w:w="3163" w:type="dxa"/>
            <w:vAlign w:val="center"/>
          </w:tcPr>
          <w:p w14:paraId="215360BC"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76.0</w:t>
            </w:r>
          </w:p>
        </w:tc>
      </w:tr>
      <w:tr w:rsidR="00A36758" w14:paraId="3A1579E2" w14:textId="77777777" w:rsidTr="0026044E">
        <w:trPr>
          <w:trHeight w:val="567"/>
        </w:trPr>
        <w:tc>
          <w:tcPr>
            <w:tcW w:w="3964" w:type="dxa"/>
            <w:vAlign w:val="center"/>
          </w:tcPr>
          <w:p w14:paraId="64B8867A"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Gestión Política de Control Interno</w:t>
            </w:r>
          </w:p>
        </w:tc>
        <w:tc>
          <w:tcPr>
            <w:tcW w:w="1701" w:type="dxa"/>
            <w:vAlign w:val="center"/>
          </w:tcPr>
          <w:p w14:paraId="160BDB40"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98.3</w:t>
            </w:r>
          </w:p>
        </w:tc>
        <w:tc>
          <w:tcPr>
            <w:tcW w:w="3163" w:type="dxa"/>
            <w:vAlign w:val="center"/>
          </w:tcPr>
          <w:p w14:paraId="5FE6F36D"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97.5</w:t>
            </w:r>
          </w:p>
        </w:tc>
      </w:tr>
      <w:tr w:rsidR="00A36758" w14:paraId="6567C31B" w14:textId="77777777" w:rsidTr="0026044E">
        <w:trPr>
          <w:trHeight w:val="567"/>
        </w:trPr>
        <w:tc>
          <w:tcPr>
            <w:tcW w:w="3964" w:type="dxa"/>
            <w:vAlign w:val="center"/>
          </w:tcPr>
          <w:p w14:paraId="64F1B269" w14:textId="77777777" w:rsidR="00345B34" w:rsidRPr="00546254" w:rsidRDefault="00345B34" w:rsidP="0026044E">
            <w:pPr>
              <w:spacing w:after="0" w:line="240" w:lineRule="auto"/>
              <w:rPr>
                <w:rFonts w:ascii="Arial" w:hAnsi="Arial" w:cs="Arial"/>
                <w:sz w:val="20"/>
                <w:szCs w:val="20"/>
                <w:lang w:val="es-MX"/>
              </w:rPr>
            </w:pPr>
            <w:r w:rsidRPr="00546254">
              <w:rPr>
                <w:rFonts w:ascii="Arial" w:eastAsia="Times New Roman" w:hAnsi="Arial" w:cs="Arial"/>
                <w:color w:val="000000"/>
                <w:sz w:val="20"/>
                <w:szCs w:val="20"/>
                <w:bdr w:val="none" w:sz="0" w:space="0" w:color="auto" w:frame="1"/>
                <w:lang w:val="es-ES" w:eastAsia="es-CO"/>
              </w:rPr>
              <w:t>Autodiagnóstico de Gestión Política Defensa Jurídica</w:t>
            </w:r>
          </w:p>
        </w:tc>
        <w:tc>
          <w:tcPr>
            <w:tcW w:w="1701" w:type="dxa"/>
            <w:vAlign w:val="center"/>
          </w:tcPr>
          <w:p w14:paraId="275641C9"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97.1</w:t>
            </w:r>
          </w:p>
        </w:tc>
        <w:tc>
          <w:tcPr>
            <w:tcW w:w="3163" w:type="dxa"/>
            <w:vAlign w:val="center"/>
          </w:tcPr>
          <w:p w14:paraId="3326751E"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97.3</w:t>
            </w:r>
          </w:p>
        </w:tc>
      </w:tr>
      <w:tr w:rsidR="00A36758" w14:paraId="2F1A0B90" w14:textId="77777777" w:rsidTr="0026044E">
        <w:trPr>
          <w:trHeight w:val="567"/>
        </w:trPr>
        <w:tc>
          <w:tcPr>
            <w:tcW w:w="3964" w:type="dxa"/>
            <w:vAlign w:val="center"/>
          </w:tcPr>
          <w:p w14:paraId="58B4E063" w14:textId="77777777" w:rsidR="00345B34" w:rsidRPr="00546254" w:rsidRDefault="00345B34" w:rsidP="0026044E">
            <w:pPr>
              <w:spacing w:after="0" w:line="240" w:lineRule="auto"/>
              <w:rPr>
                <w:rFonts w:ascii="Arial" w:eastAsia="Times New Roman" w:hAnsi="Arial" w:cs="Arial"/>
                <w:color w:val="000000"/>
                <w:sz w:val="20"/>
                <w:szCs w:val="20"/>
                <w:bdr w:val="none" w:sz="0" w:space="0" w:color="auto" w:frame="1"/>
                <w:lang w:val="es-ES" w:eastAsia="es-CO"/>
              </w:rPr>
            </w:pPr>
            <w:r w:rsidRPr="00546254">
              <w:rPr>
                <w:rFonts w:ascii="Arial" w:eastAsia="Times New Roman" w:hAnsi="Arial" w:cs="Arial"/>
                <w:color w:val="000000"/>
                <w:sz w:val="20"/>
                <w:szCs w:val="20"/>
                <w:bdr w:val="none" w:sz="0" w:space="0" w:color="auto" w:frame="1"/>
                <w:lang w:val="es-ES" w:eastAsia="es-CO"/>
              </w:rPr>
              <w:t>Autodiagnóstico de Gestión Presupuestal</w:t>
            </w:r>
          </w:p>
        </w:tc>
        <w:tc>
          <w:tcPr>
            <w:tcW w:w="1701" w:type="dxa"/>
            <w:vAlign w:val="center"/>
          </w:tcPr>
          <w:p w14:paraId="2E11204A"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97.9</w:t>
            </w:r>
          </w:p>
        </w:tc>
        <w:tc>
          <w:tcPr>
            <w:tcW w:w="3163" w:type="dxa"/>
            <w:vAlign w:val="center"/>
          </w:tcPr>
          <w:p w14:paraId="6210870E"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100.0</w:t>
            </w:r>
          </w:p>
        </w:tc>
      </w:tr>
      <w:tr w:rsidR="00A36758" w14:paraId="2C30157F" w14:textId="77777777" w:rsidTr="0026044E">
        <w:trPr>
          <w:trHeight w:val="567"/>
        </w:trPr>
        <w:tc>
          <w:tcPr>
            <w:tcW w:w="3964" w:type="dxa"/>
            <w:vAlign w:val="center"/>
          </w:tcPr>
          <w:p w14:paraId="153A673C" w14:textId="77777777" w:rsidR="00345B34" w:rsidRPr="00546254" w:rsidRDefault="00345B34" w:rsidP="0026044E">
            <w:pPr>
              <w:spacing w:after="0" w:line="240" w:lineRule="auto"/>
              <w:rPr>
                <w:rFonts w:ascii="Arial" w:eastAsia="Times New Roman" w:hAnsi="Arial" w:cs="Arial"/>
                <w:color w:val="000000"/>
                <w:sz w:val="20"/>
                <w:szCs w:val="20"/>
                <w:bdr w:val="none" w:sz="0" w:space="0" w:color="auto" w:frame="1"/>
                <w:lang w:val="es-ES" w:eastAsia="es-CO"/>
              </w:rPr>
            </w:pPr>
            <w:r w:rsidRPr="00546254">
              <w:rPr>
                <w:rFonts w:ascii="Arial" w:eastAsia="Times New Roman" w:hAnsi="Arial" w:cs="Arial"/>
                <w:color w:val="000000"/>
                <w:sz w:val="20"/>
                <w:szCs w:val="20"/>
                <w:bdr w:val="none" w:sz="0" w:space="0" w:color="auto" w:frame="1"/>
                <w:lang w:val="es-ES" w:eastAsia="es-CO"/>
              </w:rPr>
              <w:t>Autodiagnóstico de Servicio al Ciudadano</w:t>
            </w:r>
          </w:p>
        </w:tc>
        <w:tc>
          <w:tcPr>
            <w:tcW w:w="1701" w:type="dxa"/>
            <w:vAlign w:val="center"/>
          </w:tcPr>
          <w:p w14:paraId="7C972D0E"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79.9</w:t>
            </w:r>
          </w:p>
        </w:tc>
        <w:tc>
          <w:tcPr>
            <w:tcW w:w="3163" w:type="dxa"/>
            <w:vAlign w:val="center"/>
          </w:tcPr>
          <w:p w14:paraId="4EA85E22"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92.8</w:t>
            </w:r>
          </w:p>
        </w:tc>
      </w:tr>
      <w:tr w:rsidR="00A36758" w14:paraId="55557C6B" w14:textId="77777777" w:rsidTr="0026044E">
        <w:trPr>
          <w:trHeight w:val="567"/>
        </w:trPr>
        <w:tc>
          <w:tcPr>
            <w:tcW w:w="3964" w:type="dxa"/>
            <w:vAlign w:val="center"/>
          </w:tcPr>
          <w:p w14:paraId="4BB56621" w14:textId="77777777" w:rsidR="00345B34" w:rsidRPr="00546254" w:rsidRDefault="00345B34" w:rsidP="0026044E">
            <w:pPr>
              <w:spacing w:after="0" w:line="240" w:lineRule="auto"/>
              <w:rPr>
                <w:rFonts w:ascii="Arial" w:eastAsia="Times New Roman" w:hAnsi="Arial" w:cs="Arial"/>
                <w:color w:val="000000"/>
                <w:sz w:val="20"/>
                <w:szCs w:val="20"/>
                <w:bdr w:val="none" w:sz="0" w:space="0" w:color="auto" w:frame="1"/>
                <w:lang w:val="es-ES" w:eastAsia="es-CO"/>
              </w:rPr>
            </w:pPr>
            <w:r w:rsidRPr="00546254">
              <w:rPr>
                <w:rFonts w:ascii="Arial" w:eastAsia="Times New Roman" w:hAnsi="Arial" w:cs="Arial"/>
                <w:color w:val="000000"/>
                <w:sz w:val="20"/>
                <w:szCs w:val="20"/>
                <w:bdr w:val="none" w:sz="0" w:space="0" w:color="auto" w:frame="1"/>
                <w:lang w:val="es-ES" w:eastAsia="es-CO"/>
              </w:rPr>
              <w:t>Autodiagnóstico de Gestión Política de Transparencia y Acceso a la Información</w:t>
            </w:r>
          </w:p>
        </w:tc>
        <w:tc>
          <w:tcPr>
            <w:tcW w:w="1701" w:type="dxa"/>
            <w:vAlign w:val="center"/>
          </w:tcPr>
          <w:p w14:paraId="091BD449"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90.5</w:t>
            </w:r>
          </w:p>
        </w:tc>
        <w:tc>
          <w:tcPr>
            <w:tcW w:w="3163" w:type="dxa"/>
            <w:vAlign w:val="center"/>
          </w:tcPr>
          <w:p w14:paraId="0BABB543" w14:textId="77777777" w:rsidR="00345B34" w:rsidRPr="00546254" w:rsidRDefault="00345B34" w:rsidP="0026044E">
            <w:pPr>
              <w:spacing w:after="0" w:line="240" w:lineRule="auto"/>
              <w:jc w:val="center"/>
              <w:rPr>
                <w:rFonts w:ascii="Arial" w:hAnsi="Arial" w:cs="Arial"/>
                <w:sz w:val="20"/>
                <w:szCs w:val="20"/>
                <w:lang w:val="es-MX"/>
              </w:rPr>
            </w:pPr>
            <w:r w:rsidRPr="00546254">
              <w:rPr>
                <w:rFonts w:ascii="Arial" w:hAnsi="Arial" w:cs="Arial"/>
                <w:sz w:val="20"/>
                <w:szCs w:val="20"/>
                <w:lang w:val="es-MX"/>
              </w:rPr>
              <w:t>94.9</w:t>
            </w:r>
          </w:p>
        </w:tc>
      </w:tr>
      <w:tr w:rsidR="00345B34" w:rsidRPr="00546254" w14:paraId="37AC0285" w14:textId="77777777" w:rsidTr="0026044E">
        <w:trPr>
          <w:trHeight w:val="1757"/>
        </w:trPr>
        <w:tc>
          <w:tcPr>
            <w:tcW w:w="3964" w:type="dxa"/>
            <w:vAlign w:val="center"/>
          </w:tcPr>
          <w:p w14:paraId="4B92EDBC" w14:textId="77777777" w:rsidR="00345B34" w:rsidRPr="0026044E" w:rsidRDefault="00345B34" w:rsidP="0026044E">
            <w:pPr>
              <w:spacing w:after="0" w:line="240" w:lineRule="auto"/>
              <w:rPr>
                <w:rFonts w:ascii="Arial" w:eastAsia="Times New Roman" w:hAnsi="Arial" w:cs="Arial"/>
                <w:color w:val="000000"/>
                <w:sz w:val="20"/>
                <w:szCs w:val="20"/>
                <w:bdr w:val="none" w:sz="0" w:space="0" w:color="auto" w:frame="1"/>
                <w:lang w:val="es-ES" w:eastAsia="es-CO"/>
              </w:rPr>
            </w:pPr>
            <w:r w:rsidRPr="0026044E">
              <w:rPr>
                <w:rFonts w:ascii="Arial" w:eastAsia="Times New Roman" w:hAnsi="Arial" w:cs="Arial"/>
                <w:color w:val="000000"/>
                <w:sz w:val="20"/>
                <w:szCs w:val="20"/>
                <w:bdr w:val="none" w:sz="0" w:space="0" w:color="auto" w:frame="1"/>
                <w:lang w:val="es-ES" w:eastAsia="es-CO"/>
              </w:rPr>
              <w:t>Gobierno digital</w:t>
            </w:r>
          </w:p>
        </w:tc>
        <w:tc>
          <w:tcPr>
            <w:tcW w:w="1701" w:type="dxa"/>
            <w:vAlign w:val="center"/>
          </w:tcPr>
          <w:p w14:paraId="5EB72F78" w14:textId="77777777" w:rsidR="00345B34" w:rsidRPr="0026044E" w:rsidRDefault="00345B34" w:rsidP="0026044E">
            <w:pPr>
              <w:spacing w:after="0" w:line="240" w:lineRule="auto"/>
              <w:jc w:val="center"/>
              <w:rPr>
                <w:rFonts w:ascii="Arial" w:hAnsi="Arial" w:cs="Arial"/>
                <w:sz w:val="20"/>
                <w:szCs w:val="20"/>
                <w:lang w:val="es-MX"/>
              </w:rPr>
            </w:pPr>
            <w:r w:rsidRPr="0026044E">
              <w:rPr>
                <w:rFonts w:ascii="Arial" w:hAnsi="Arial" w:cs="Arial"/>
                <w:sz w:val="20"/>
                <w:szCs w:val="20"/>
                <w:lang w:val="es-MX"/>
              </w:rPr>
              <w:t>64.7</w:t>
            </w:r>
          </w:p>
        </w:tc>
        <w:tc>
          <w:tcPr>
            <w:tcW w:w="3163" w:type="dxa"/>
            <w:vAlign w:val="center"/>
          </w:tcPr>
          <w:p w14:paraId="34A4F732" w14:textId="77777777" w:rsidR="00345B34" w:rsidRPr="0026044E" w:rsidRDefault="00345B34" w:rsidP="0026044E">
            <w:pPr>
              <w:spacing w:after="0" w:line="240" w:lineRule="auto"/>
              <w:rPr>
                <w:rFonts w:ascii="Arial" w:hAnsi="Arial" w:cs="Arial"/>
                <w:sz w:val="20"/>
                <w:szCs w:val="20"/>
                <w:lang w:val="es-MX"/>
              </w:rPr>
            </w:pPr>
            <w:r w:rsidRPr="0026044E">
              <w:rPr>
                <w:rFonts w:ascii="Arial" w:eastAsia="Times New Roman" w:hAnsi="Arial" w:cs="Arial"/>
                <w:color w:val="000000"/>
                <w:sz w:val="20"/>
                <w:szCs w:val="20"/>
                <w:lang w:eastAsia="es-CO"/>
              </w:rPr>
              <w:t>El autodiagnóstico para esta política se diligencia para 2019, a través de la herramienta suministrada por MINTIC, la cual arrojó una implementación para la política en SDIS en rango Medio Alto (Entre 60 y 79)</w:t>
            </w:r>
          </w:p>
        </w:tc>
      </w:tr>
    </w:tbl>
    <w:p w14:paraId="5CE97B7C" w14:textId="142C4C54" w:rsidR="00345B34" w:rsidRPr="00546254" w:rsidRDefault="00345B34" w:rsidP="0026044E">
      <w:pPr>
        <w:pStyle w:val="Default"/>
        <w:jc w:val="center"/>
        <w:rPr>
          <w:color w:val="auto"/>
          <w:sz w:val="16"/>
          <w:szCs w:val="16"/>
        </w:rPr>
      </w:pPr>
      <w:r w:rsidRPr="00546254">
        <w:rPr>
          <w:b/>
          <w:bCs/>
          <w:color w:val="auto"/>
          <w:sz w:val="16"/>
          <w:szCs w:val="16"/>
        </w:rPr>
        <w:t>Fuente:</w:t>
      </w:r>
      <w:r w:rsidR="00321B4B" w:rsidRPr="00546254">
        <w:rPr>
          <w:b/>
          <w:bCs/>
          <w:color w:val="auto"/>
          <w:sz w:val="16"/>
          <w:szCs w:val="16"/>
        </w:rPr>
        <w:t xml:space="preserve"> </w:t>
      </w:r>
      <w:r w:rsidR="00321B4B" w:rsidRPr="00546254">
        <w:rPr>
          <w:bCs/>
          <w:color w:val="auto"/>
          <w:sz w:val="16"/>
          <w:szCs w:val="16"/>
        </w:rPr>
        <w:t xml:space="preserve">Subdirección de Diseño, Evaluación y </w:t>
      </w:r>
      <w:r w:rsidR="00B35298" w:rsidRPr="00546254">
        <w:rPr>
          <w:bCs/>
          <w:color w:val="auto"/>
          <w:sz w:val="16"/>
          <w:szCs w:val="16"/>
        </w:rPr>
        <w:t>S</w:t>
      </w:r>
      <w:r w:rsidR="00321B4B" w:rsidRPr="00546254">
        <w:rPr>
          <w:bCs/>
          <w:color w:val="auto"/>
          <w:sz w:val="16"/>
          <w:szCs w:val="16"/>
        </w:rPr>
        <w:t>istematización -</w:t>
      </w:r>
      <w:r w:rsidR="00EB3E3A" w:rsidRPr="00546254">
        <w:rPr>
          <w:bCs/>
          <w:color w:val="auto"/>
          <w:sz w:val="16"/>
          <w:szCs w:val="16"/>
        </w:rPr>
        <w:t xml:space="preserve"> Subdirección de Investigación e Información</w:t>
      </w:r>
    </w:p>
    <w:p w14:paraId="043335B8" w14:textId="671EF7B9" w:rsidR="00345B34" w:rsidRPr="009C0619" w:rsidRDefault="00345B34" w:rsidP="00345B34">
      <w:pPr>
        <w:pStyle w:val="Default"/>
        <w:jc w:val="both"/>
        <w:rPr>
          <w:b/>
          <w:color w:val="auto"/>
          <w:sz w:val="22"/>
          <w:szCs w:val="22"/>
        </w:rPr>
      </w:pPr>
      <w:r w:rsidRPr="009C0619">
        <w:rPr>
          <w:b/>
          <w:color w:val="auto"/>
          <w:sz w:val="22"/>
          <w:szCs w:val="22"/>
        </w:rPr>
        <w:lastRenderedPageBreak/>
        <w:t xml:space="preserve">Resultados Formulario Único de </w:t>
      </w:r>
      <w:r w:rsidR="00A36758">
        <w:rPr>
          <w:b/>
          <w:color w:val="auto"/>
          <w:sz w:val="22"/>
          <w:szCs w:val="22"/>
        </w:rPr>
        <w:t>R</w:t>
      </w:r>
      <w:r w:rsidRPr="009C0619">
        <w:rPr>
          <w:b/>
          <w:color w:val="auto"/>
          <w:sz w:val="22"/>
          <w:szCs w:val="22"/>
        </w:rPr>
        <w:t xml:space="preserve">eporte de </w:t>
      </w:r>
      <w:r w:rsidR="00A36758">
        <w:rPr>
          <w:b/>
          <w:color w:val="auto"/>
          <w:sz w:val="22"/>
          <w:szCs w:val="22"/>
        </w:rPr>
        <w:t>A</w:t>
      </w:r>
      <w:r w:rsidRPr="009C0619">
        <w:rPr>
          <w:b/>
          <w:color w:val="auto"/>
          <w:sz w:val="22"/>
          <w:szCs w:val="22"/>
        </w:rPr>
        <w:t xml:space="preserve">vance a la </w:t>
      </w:r>
      <w:r w:rsidR="00A36758">
        <w:rPr>
          <w:b/>
          <w:color w:val="auto"/>
          <w:sz w:val="22"/>
          <w:szCs w:val="22"/>
        </w:rPr>
        <w:t>G</w:t>
      </w:r>
      <w:r w:rsidRPr="009C0619">
        <w:rPr>
          <w:b/>
          <w:color w:val="auto"/>
          <w:sz w:val="22"/>
          <w:szCs w:val="22"/>
        </w:rPr>
        <w:t xml:space="preserve">estión </w:t>
      </w:r>
      <w:r w:rsidR="009C0619">
        <w:rPr>
          <w:b/>
          <w:color w:val="auto"/>
          <w:sz w:val="22"/>
          <w:szCs w:val="22"/>
        </w:rPr>
        <w:t xml:space="preserve">- </w:t>
      </w:r>
      <w:r w:rsidRPr="009C0619">
        <w:rPr>
          <w:b/>
          <w:color w:val="auto"/>
          <w:sz w:val="22"/>
          <w:szCs w:val="22"/>
        </w:rPr>
        <w:t>FURAG</w:t>
      </w:r>
    </w:p>
    <w:p w14:paraId="3BA07603" w14:textId="5FF1FAC3" w:rsidR="00345B34" w:rsidRPr="009C0619" w:rsidRDefault="00345B34" w:rsidP="00345B34">
      <w:pPr>
        <w:pStyle w:val="Default"/>
        <w:jc w:val="both"/>
        <w:rPr>
          <w:bCs/>
          <w:color w:val="auto"/>
          <w:sz w:val="22"/>
          <w:szCs w:val="22"/>
        </w:rPr>
      </w:pPr>
    </w:p>
    <w:p w14:paraId="313450E6" w14:textId="73630816" w:rsidR="00100FB5" w:rsidRPr="009C0619" w:rsidRDefault="009C0619" w:rsidP="00100FB5">
      <w:pPr>
        <w:pStyle w:val="Default"/>
        <w:jc w:val="both"/>
        <w:rPr>
          <w:sz w:val="22"/>
          <w:szCs w:val="22"/>
          <w:lang w:val="es-CO"/>
        </w:rPr>
      </w:pPr>
      <w:r>
        <w:rPr>
          <w:sz w:val="22"/>
          <w:szCs w:val="22"/>
        </w:rPr>
        <w:t>El FURAG e</w:t>
      </w:r>
      <w:r w:rsidR="00100FB5" w:rsidRPr="009C0619">
        <w:rPr>
          <w:sz w:val="22"/>
          <w:szCs w:val="22"/>
        </w:rPr>
        <w:t xml:space="preserve">s una herramienta que evalúa la gestión institucional de todas las entidades del orden nacional y territorial. El resultado es el Índice de Desempeño Institucional en el marco del Modelo Integrado de Planeación y de Gestión (MIPG). La evaluación es realizada por el Departamento Administrativo de la Función Pública para cada vigencia. </w:t>
      </w:r>
    </w:p>
    <w:p w14:paraId="57E96E2B" w14:textId="77777777" w:rsidR="00100FB5" w:rsidRPr="009C0619" w:rsidRDefault="00100FB5" w:rsidP="00345B34">
      <w:pPr>
        <w:pStyle w:val="Default"/>
        <w:jc w:val="both"/>
        <w:rPr>
          <w:bCs/>
          <w:color w:val="auto"/>
          <w:sz w:val="22"/>
          <w:szCs w:val="22"/>
        </w:rPr>
      </w:pPr>
    </w:p>
    <w:p w14:paraId="15DC2457" w14:textId="77777777" w:rsidR="00345B34" w:rsidRPr="009C0619" w:rsidRDefault="00345B34" w:rsidP="00345B34">
      <w:pPr>
        <w:pStyle w:val="Default"/>
        <w:jc w:val="both"/>
        <w:rPr>
          <w:bCs/>
          <w:color w:val="auto"/>
          <w:sz w:val="22"/>
          <w:szCs w:val="22"/>
        </w:rPr>
      </w:pPr>
      <w:r w:rsidRPr="009C0619">
        <w:rPr>
          <w:bCs/>
          <w:color w:val="auto"/>
          <w:sz w:val="22"/>
          <w:szCs w:val="22"/>
        </w:rPr>
        <w:t>A continuación, se relacionan los resultados obtenidos por la Secretaría Distrital de Integración Social en la medición para la vigencia 2019 y su comparación con los resultados obtenidos en el 2018.</w:t>
      </w:r>
    </w:p>
    <w:p w14:paraId="396AC984" w14:textId="77777777" w:rsidR="00345B34" w:rsidRPr="009C0619" w:rsidRDefault="00345B34" w:rsidP="00345B34">
      <w:pPr>
        <w:pStyle w:val="Default"/>
        <w:jc w:val="both"/>
        <w:rPr>
          <w:bCs/>
          <w:color w:val="auto"/>
          <w:sz w:val="22"/>
          <w:szCs w:val="22"/>
        </w:rPr>
      </w:pPr>
    </w:p>
    <w:p w14:paraId="50C1915D" w14:textId="77777777" w:rsidR="00345B34" w:rsidRPr="009C0619" w:rsidRDefault="00345B34" w:rsidP="00345B34">
      <w:pPr>
        <w:pStyle w:val="Default"/>
        <w:jc w:val="both"/>
        <w:rPr>
          <w:b/>
          <w:color w:val="auto"/>
          <w:sz w:val="22"/>
          <w:szCs w:val="22"/>
        </w:rPr>
      </w:pPr>
      <w:r w:rsidRPr="009C0619">
        <w:rPr>
          <w:b/>
          <w:color w:val="auto"/>
          <w:sz w:val="22"/>
          <w:szCs w:val="22"/>
        </w:rPr>
        <w:t>Índice de Desempeño Institucional 2019</w:t>
      </w:r>
    </w:p>
    <w:p w14:paraId="2CF27068" w14:textId="77777777" w:rsidR="00345B34" w:rsidRPr="004F7865" w:rsidRDefault="00345B34" w:rsidP="00345B34">
      <w:pPr>
        <w:pStyle w:val="Default"/>
        <w:jc w:val="both"/>
        <w:rPr>
          <w:rFonts w:asciiTheme="minorHAnsi" w:hAnsiTheme="minorHAnsi" w:cstheme="minorHAnsi"/>
          <w:bCs/>
          <w:color w:val="auto"/>
        </w:rPr>
      </w:pPr>
    </w:p>
    <w:p w14:paraId="6BCF1487" w14:textId="77777777" w:rsidR="00345B34" w:rsidRDefault="00345B34" w:rsidP="00345B34">
      <w:pPr>
        <w:pStyle w:val="Default"/>
        <w:jc w:val="both"/>
        <w:rPr>
          <w:rFonts w:ascii="Calibri" w:hAnsi="Calibri" w:cs="Calibri"/>
          <w:color w:val="auto"/>
          <w:sz w:val="22"/>
          <w:szCs w:val="22"/>
        </w:rPr>
      </w:pPr>
      <w:r w:rsidRPr="004F388F">
        <w:rPr>
          <w:rFonts w:ascii="Calibri" w:hAnsi="Calibri" w:cs="Calibri"/>
          <w:noProof/>
          <w:color w:val="auto"/>
          <w:sz w:val="22"/>
          <w:szCs w:val="22"/>
          <w:lang w:val="es-CO" w:eastAsia="es-CO"/>
        </w:rPr>
        <w:drawing>
          <wp:inline distT="0" distB="0" distL="0" distR="0" wp14:anchorId="0AF4BB03" wp14:editId="0BC52A94">
            <wp:extent cx="5611410" cy="1704975"/>
            <wp:effectExtent l="19050" t="19050" r="27940" b="9525"/>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9"/>
                    <a:srcRect l="11372" t="25555" r="12157" b="35403"/>
                    <a:stretch/>
                  </pic:blipFill>
                  <pic:spPr>
                    <a:xfrm>
                      <a:off x="0" y="0"/>
                      <a:ext cx="5651016" cy="1717009"/>
                    </a:xfrm>
                    <a:prstGeom prst="rect">
                      <a:avLst/>
                    </a:prstGeom>
                    <a:ln>
                      <a:solidFill>
                        <a:schemeClr val="accent1"/>
                      </a:solidFill>
                    </a:ln>
                  </pic:spPr>
                </pic:pic>
              </a:graphicData>
            </a:graphic>
          </wp:inline>
        </w:drawing>
      </w:r>
    </w:p>
    <w:p w14:paraId="02537B94" w14:textId="6EB6D638" w:rsidR="00345B34" w:rsidRPr="00215D55" w:rsidRDefault="0017452F" w:rsidP="0026044E">
      <w:pPr>
        <w:pStyle w:val="Default"/>
        <w:jc w:val="center"/>
        <w:rPr>
          <w:color w:val="auto"/>
          <w:sz w:val="16"/>
          <w:szCs w:val="16"/>
        </w:rPr>
      </w:pPr>
      <w:r w:rsidRPr="00215D55">
        <w:rPr>
          <w:b/>
          <w:bCs/>
          <w:color w:val="auto"/>
          <w:sz w:val="16"/>
          <w:szCs w:val="16"/>
        </w:rPr>
        <w:t>Fuente:</w:t>
      </w:r>
      <w:r w:rsidR="008B11FE" w:rsidRPr="00215D55">
        <w:rPr>
          <w:b/>
          <w:bCs/>
          <w:color w:val="auto"/>
          <w:sz w:val="16"/>
          <w:szCs w:val="16"/>
        </w:rPr>
        <w:t xml:space="preserve"> </w:t>
      </w:r>
      <w:r w:rsidR="008B11FE" w:rsidRPr="00215D55">
        <w:rPr>
          <w:bCs/>
          <w:color w:val="auto"/>
          <w:sz w:val="16"/>
          <w:szCs w:val="16"/>
        </w:rPr>
        <w:t>Resultados FURAG 2019 Departamento Administrativo de la Función Pública</w:t>
      </w:r>
    </w:p>
    <w:p w14:paraId="1099BBEF" w14:textId="77777777" w:rsidR="00345B34" w:rsidRPr="005D3761" w:rsidRDefault="00345B34" w:rsidP="00345B34">
      <w:pPr>
        <w:pStyle w:val="Default"/>
        <w:jc w:val="both"/>
        <w:rPr>
          <w:rFonts w:ascii="Calibri" w:hAnsi="Calibri" w:cs="Calibri"/>
          <w:color w:val="auto"/>
        </w:rPr>
      </w:pPr>
    </w:p>
    <w:p w14:paraId="74CB8D13" w14:textId="5EDA1D12" w:rsidR="00345B34" w:rsidRPr="00215D55" w:rsidRDefault="00345B34" w:rsidP="00345B34">
      <w:pPr>
        <w:pStyle w:val="Default"/>
        <w:jc w:val="both"/>
        <w:rPr>
          <w:b/>
          <w:color w:val="auto"/>
          <w:sz w:val="22"/>
          <w:szCs w:val="22"/>
        </w:rPr>
      </w:pPr>
      <w:r w:rsidRPr="00215D55">
        <w:rPr>
          <w:b/>
          <w:color w:val="auto"/>
          <w:sz w:val="22"/>
          <w:szCs w:val="22"/>
        </w:rPr>
        <w:t xml:space="preserve">Comparación de resultados Índice de Desempeño 2018 </w:t>
      </w:r>
      <w:r w:rsidR="005D3761" w:rsidRPr="00215D55">
        <w:rPr>
          <w:b/>
          <w:color w:val="auto"/>
          <w:sz w:val="22"/>
          <w:szCs w:val="22"/>
        </w:rPr>
        <w:t>–</w:t>
      </w:r>
      <w:r w:rsidRPr="00215D55">
        <w:rPr>
          <w:b/>
          <w:color w:val="auto"/>
          <w:sz w:val="22"/>
          <w:szCs w:val="22"/>
        </w:rPr>
        <w:t xml:space="preserve"> 2019</w:t>
      </w:r>
    </w:p>
    <w:p w14:paraId="22A02371" w14:textId="77777777" w:rsidR="005D3761" w:rsidRPr="005D3761" w:rsidRDefault="005D3761" w:rsidP="00345B34">
      <w:pPr>
        <w:pStyle w:val="Default"/>
        <w:jc w:val="both"/>
        <w:rPr>
          <w:rFonts w:ascii="Calibri" w:hAnsi="Calibri" w:cs="Calibri"/>
          <w:color w:val="auto"/>
        </w:rPr>
      </w:pPr>
    </w:p>
    <w:p w14:paraId="3FEFF628" w14:textId="10C10FCE" w:rsidR="00345B34" w:rsidRPr="005B68C2" w:rsidRDefault="005D3761" w:rsidP="00345B34">
      <w:pPr>
        <w:pStyle w:val="Default"/>
        <w:jc w:val="both"/>
        <w:rPr>
          <w:rFonts w:ascii="Calibri" w:hAnsi="Calibri" w:cs="Calibri"/>
          <w:color w:val="auto"/>
          <w:sz w:val="22"/>
          <w:szCs w:val="22"/>
        </w:rPr>
      </w:pPr>
      <w:r w:rsidRPr="004F388F">
        <w:rPr>
          <w:rFonts w:ascii="Calibri" w:hAnsi="Calibri" w:cs="Calibri"/>
          <w:noProof/>
          <w:color w:val="auto"/>
          <w:sz w:val="22"/>
          <w:szCs w:val="22"/>
          <w:lang w:val="es-CO" w:eastAsia="es-CO"/>
        </w:rPr>
        <mc:AlternateContent>
          <mc:Choice Requires="wps">
            <w:drawing>
              <wp:anchor distT="0" distB="0" distL="114300" distR="114300" simplePos="0" relativeHeight="251660288" behindDoc="0" locked="0" layoutInCell="1" allowOverlap="1" wp14:anchorId="30A92301" wp14:editId="7ED0DA15">
                <wp:simplePos x="0" y="0"/>
                <wp:positionH relativeFrom="column">
                  <wp:posOffset>5116830</wp:posOffset>
                </wp:positionH>
                <wp:positionV relativeFrom="paragraph">
                  <wp:posOffset>1347470</wp:posOffset>
                </wp:positionV>
                <wp:extent cx="914400" cy="441960"/>
                <wp:effectExtent l="0" t="0" r="19050" b="15240"/>
                <wp:wrapNone/>
                <wp:docPr id="28" name="Rectángulo redondeado 9"/>
                <wp:cNvGraphicFramePr/>
                <a:graphic xmlns:a="http://schemas.openxmlformats.org/drawingml/2006/main">
                  <a:graphicData uri="http://schemas.microsoft.com/office/word/2010/wordprocessingShape">
                    <wps:wsp>
                      <wps:cNvSpPr/>
                      <wps:spPr>
                        <a:xfrm>
                          <a:off x="0" y="0"/>
                          <a:ext cx="914400" cy="44196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C604C9" w14:textId="77777777" w:rsidR="00A36758" w:rsidRDefault="00A36758" w:rsidP="00345B34">
                            <w:pPr>
                              <w:pStyle w:val="NormalWeb"/>
                              <w:spacing w:before="0" w:beforeAutospacing="0" w:after="200" w:afterAutospacing="0" w:line="276" w:lineRule="auto"/>
                              <w:jc w:val="center"/>
                            </w:pPr>
                            <w:r>
                              <w:rPr>
                                <w:rFonts w:asciiTheme="minorHAnsi" w:eastAsia="Calibri" w:hAnsi="Calibri"/>
                                <w:color w:val="FFFFFF" w:themeColor="light1"/>
                                <w:kern w:val="24"/>
                                <w:sz w:val="40"/>
                                <w:szCs w:val="40"/>
                              </w:rPr>
                              <w:t>2019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A92301" id="Rectángulo redondeado 9" o:spid="_x0000_s1026" style="position:absolute;left:0;text-align:left;margin-left:402.9pt;margin-top:106.1pt;width:1in;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" fillcolor="#ffbd47 [3205]" strokecolor="#77230c [1604]" strokeweight="1pt">
                <v:stroke joinstyle="miter"/>
                <v:textbox>
                  <w:txbxContent>
                    <w:p w14:paraId="49C604C9" w14:textId="77777777" w:rsidR="00A36758" w:rsidRDefault="00A36758" w:rsidP="00345B34">
                      <w:pPr>
                        <w:pStyle w:val="NormalWeb"/>
                        <w:spacing w:before="0" w:beforeAutospacing="0" w:after="200" w:afterAutospacing="0" w:line="276" w:lineRule="auto"/>
                        <w:jc w:val="center"/>
                      </w:pPr>
                      <w:r>
                        <w:rPr>
                          <w:rFonts w:asciiTheme="minorHAnsi" w:eastAsia="Calibri" w:hAnsi="Calibri"/>
                          <w:color w:val="FFFFFF" w:themeColor="light1"/>
                          <w:kern w:val="24"/>
                          <w:sz w:val="40"/>
                          <w:szCs w:val="40"/>
                        </w:rPr>
                        <w:t>2019</w:t>
                      </w:r>
                    </w:p>
                  </w:txbxContent>
                </v:textbox>
              </v:roundrect>
            </w:pict>
          </mc:Fallback>
        </mc:AlternateContent>
      </w:r>
      <w:r w:rsidR="0017452F" w:rsidRPr="004F388F">
        <w:rPr>
          <w:rFonts w:ascii="Calibri" w:hAnsi="Calibri" w:cs="Calibri"/>
          <w:noProof/>
          <w:color w:val="auto"/>
          <w:sz w:val="22"/>
          <w:szCs w:val="22"/>
          <w:lang w:val="es-CO" w:eastAsia="es-CO"/>
        </w:rPr>
        <mc:AlternateContent>
          <mc:Choice Requires="wps">
            <w:drawing>
              <wp:anchor distT="0" distB="0" distL="114300" distR="114300" simplePos="0" relativeHeight="251659264" behindDoc="0" locked="0" layoutInCell="1" allowOverlap="1" wp14:anchorId="09F5FFA8" wp14:editId="5987FC52">
                <wp:simplePos x="0" y="0"/>
                <wp:positionH relativeFrom="column">
                  <wp:posOffset>-97931</wp:posOffset>
                </wp:positionH>
                <wp:positionV relativeFrom="paragraph">
                  <wp:posOffset>1269365</wp:posOffset>
                </wp:positionV>
                <wp:extent cx="914400" cy="441960"/>
                <wp:effectExtent l="0" t="0" r="19050" b="15240"/>
                <wp:wrapNone/>
                <wp:docPr id="27" name="Rectángulo redondeado 9"/>
                <wp:cNvGraphicFramePr/>
                <a:graphic xmlns:a="http://schemas.openxmlformats.org/drawingml/2006/main">
                  <a:graphicData uri="http://schemas.microsoft.com/office/word/2010/wordprocessingShape">
                    <wps:wsp>
                      <wps:cNvSpPr/>
                      <wps:spPr>
                        <a:xfrm>
                          <a:off x="0" y="0"/>
                          <a:ext cx="914400" cy="44196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C4BD0E" w14:textId="77777777" w:rsidR="00A36758" w:rsidRDefault="00A36758" w:rsidP="00345B34">
                            <w:pPr>
                              <w:pStyle w:val="NormalWeb"/>
                              <w:spacing w:before="0" w:beforeAutospacing="0" w:after="200" w:afterAutospacing="0" w:line="276" w:lineRule="auto"/>
                              <w:jc w:val="center"/>
                            </w:pPr>
                            <w:r>
                              <w:rPr>
                                <w:rFonts w:asciiTheme="minorHAnsi" w:eastAsia="Calibri" w:hAnsi="Calibri"/>
                                <w:color w:val="FFFFFF" w:themeColor="light1"/>
                                <w:kern w:val="24"/>
                                <w:sz w:val="40"/>
                                <w:szCs w:val="40"/>
                              </w:rPr>
                              <w:t>2018</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F5FFA8" id="_x0000_s1027" style="position:absolute;left:0;text-align:left;margin-left:-7.7pt;margin-top:99.95pt;width:1in;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" fillcolor="#ffbd47 [3205]" strokecolor="#77230c [1604]" strokeweight="1pt">
                <v:stroke joinstyle="miter"/>
                <v:textbox>
                  <w:txbxContent>
                    <w:p w14:paraId="74C4BD0E" w14:textId="77777777" w:rsidR="00A36758" w:rsidRDefault="00A36758" w:rsidP="00345B34">
                      <w:pPr>
                        <w:pStyle w:val="NormalWeb"/>
                        <w:spacing w:before="0" w:beforeAutospacing="0" w:after="200" w:afterAutospacing="0" w:line="276" w:lineRule="auto"/>
                        <w:jc w:val="center"/>
                      </w:pPr>
                      <w:r>
                        <w:rPr>
                          <w:rFonts w:asciiTheme="minorHAnsi" w:eastAsia="Calibri" w:hAnsi="Calibri"/>
                          <w:color w:val="FFFFFF" w:themeColor="light1"/>
                          <w:kern w:val="24"/>
                          <w:sz w:val="40"/>
                          <w:szCs w:val="40"/>
                        </w:rPr>
                        <w:t>2018</w:t>
                      </w:r>
                    </w:p>
                  </w:txbxContent>
                </v:textbox>
              </v:roundrect>
            </w:pict>
          </mc:Fallback>
        </mc:AlternateContent>
      </w:r>
      <w:r w:rsidR="00345B34" w:rsidRPr="004F388F">
        <w:rPr>
          <w:rFonts w:ascii="Calibri" w:hAnsi="Calibri" w:cs="Calibri"/>
          <w:color w:val="auto"/>
          <w:sz w:val="22"/>
          <w:szCs w:val="22"/>
          <w:lang w:val="es-CO"/>
        </w:rPr>
        <w:t xml:space="preserve"> </w:t>
      </w:r>
      <w:r w:rsidR="00345B34" w:rsidRPr="004F388F">
        <w:rPr>
          <w:rFonts w:ascii="Calibri" w:hAnsi="Calibri" w:cs="Calibri"/>
          <w:noProof/>
          <w:color w:val="auto"/>
          <w:sz w:val="22"/>
          <w:szCs w:val="22"/>
          <w:lang w:val="es-CO" w:eastAsia="es-CO"/>
        </w:rPr>
        <w:drawing>
          <wp:inline distT="0" distB="0" distL="0" distR="0" wp14:anchorId="493450C2" wp14:editId="572F6226">
            <wp:extent cx="2590800" cy="2266950"/>
            <wp:effectExtent l="19050" t="19050" r="19050" b="19050"/>
            <wp:docPr id="25"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20"/>
                    <a:srcRect l="26130" t="49966" r="48942" b="25325"/>
                    <a:stretch/>
                  </pic:blipFill>
                  <pic:spPr bwMode="auto">
                    <a:xfrm>
                      <a:off x="0" y="0"/>
                      <a:ext cx="2597517" cy="227282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345B34" w:rsidRPr="008B11FE">
        <w:rPr>
          <w:rFonts w:ascii="Calibri" w:hAnsi="Calibri" w:cs="Calibri"/>
          <w:color w:val="auto"/>
          <w:sz w:val="22"/>
          <w:szCs w:val="22"/>
          <w:lang w:val="es-CO"/>
        </w:rPr>
        <w:t xml:space="preserve">    </w:t>
      </w:r>
      <w:r w:rsidR="00345B34" w:rsidRPr="004F388F">
        <w:rPr>
          <w:rFonts w:ascii="Calibri" w:hAnsi="Calibri" w:cs="Calibri"/>
          <w:noProof/>
          <w:color w:val="auto"/>
          <w:sz w:val="22"/>
          <w:szCs w:val="22"/>
          <w:lang w:val="es-CO" w:eastAsia="es-CO"/>
        </w:rPr>
        <w:drawing>
          <wp:inline distT="0" distB="0" distL="0" distR="0" wp14:anchorId="7C02BB25" wp14:editId="7396F9D2">
            <wp:extent cx="2714625" cy="2286000"/>
            <wp:effectExtent l="19050" t="19050" r="28575" b="19050"/>
            <wp:docPr id="26"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rotWithShape="1">
                    <a:blip r:embed="rId21"/>
                    <a:srcRect t="17622" r="47177" b="31792"/>
                    <a:stretch/>
                  </pic:blipFill>
                  <pic:spPr bwMode="auto">
                    <a:xfrm>
                      <a:off x="0" y="0"/>
                      <a:ext cx="2729442" cy="229847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EFA2885" w14:textId="158C170E" w:rsidR="005D3761" w:rsidRPr="00D272D7" w:rsidRDefault="005D3761" w:rsidP="0026044E">
      <w:pPr>
        <w:pStyle w:val="Default"/>
        <w:jc w:val="center"/>
        <w:rPr>
          <w:color w:val="auto"/>
          <w:sz w:val="18"/>
          <w:szCs w:val="18"/>
        </w:rPr>
      </w:pPr>
      <w:r w:rsidRPr="00D272D7">
        <w:rPr>
          <w:b/>
          <w:bCs/>
          <w:color w:val="auto"/>
          <w:sz w:val="18"/>
          <w:szCs w:val="18"/>
        </w:rPr>
        <w:t>Fuente:</w:t>
      </w:r>
      <w:r w:rsidR="008B11FE" w:rsidRPr="00D272D7">
        <w:rPr>
          <w:b/>
          <w:bCs/>
          <w:color w:val="auto"/>
          <w:sz w:val="18"/>
          <w:szCs w:val="18"/>
        </w:rPr>
        <w:t xml:space="preserve"> </w:t>
      </w:r>
      <w:r w:rsidR="008B11FE" w:rsidRPr="00D272D7">
        <w:rPr>
          <w:bCs/>
          <w:color w:val="auto"/>
          <w:sz w:val="18"/>
          <w:szCs w:val="18"/>
        </w:rPr>
        <w:t>Resultados FURAG 2019 Departamento Administrativo de la Función Pública</w:t>
      </w:r>
    </w:p>
    <w:p w14:paraId="76F04DEA" w14:textId="74CD3319" w:rsidR="00C61B3F" w:rsidRDefault="00C61B3F" w:rsidP="00C61B3F">
      <w:pPr>
        <w:pStyle w:val="Default"/>
        <w:jc w:val="both"/>
        <w:rPr>
          <w:rFonts w:asciiTheme="minorHAnsi" w:hAnsiTheme="minorHAnsi" w:cstheme="minorHAnsi"/>
          <w:bCs/>
          <w:color w:val="auto"/>
        </w:rPr>
      </w:pPr>
    </w:p>
    <w:p w14:paraId="7F2E4801" w14:textId="2D8D4D5E" w:rsidR="00DC6288" w:rsidRDefault="00DC6288" w:rsidP="00C61B3F">
      <w:pPr>
        <w:pStyle w:val="Default"/>
        <w:jc w:val="both"/>
        <w:rPr>
          <w:rFonts w:asciiTheme="minorHAnsi" w:hAnsiTheme="minorHAnsi" w:cstheme="minorHAnsi"/>
          <w:bCs/>
          <w:color w:val="auto"/>
        </w:rPr>
      </w:pPr>
    </w:p>
    <w:p w14:paraId="20DDE47E" w14:textId="77777777" w:rsidR="00DC6288" w:rsidRDefault="00DC6288" w:rsidP="00C61B3F">
      <w:pPr>
        <w:pStyle w:val="Default"/>
        <w:jc w:val="both"/>
        <w:rPr>
          <w:rFonts w:asciiTheme="minorHAnsi" w:hAnsiTheme="minorHAnsi" w:cstheme="minorHAnsi"/>
          <w:bCs/>
          <w:color w:val="auto"/>
        </w:rPr>
      </w:pPr>
    </w:p>
    <w:p w14:paraId="53069C90" w14:textId="2D4B4567" w:rsidR="00D272D7" w:rsidRDefault="00D272D7" w:rsidP="00D272D7">
      <w:pPr>
        <w:pStyle w:val="Default"/>
        <w:jc w:val="both"/>
        <w:rPr>
          <w:b/>
          <w:color w:val="auto"/>
          <w:sz w:val="22"/>
          <w:szCs w:val="22"/>
        </w:rPr>
      </w:pPr>
      <w:r w:rsidRPr="00D272D7">
        <w:rPr>
          <w:b/>
          <w:color w:val="auto"/>
          <w:sz w:val="22"/>
          <w:szCs w:val="22"/>
        </w:rPr>
        <w:lastRenderedPageBreak/>
        <w:t>Índice por dimensión 2019</w:t>
      </w:r>
    </w:p>
    <w:p w14:paraId="3BB24EDE" w14:textId="77777777" w:rsidR="00A36758" w:rsidRPr="00D272D7" w:rsidRDefault="00A36758" w:rsidP="00D272D7">
      <w:pPr>
        <w:pStyle w:val="Default"/>
        <w:jc w:val="both"/>
        <w:rPr>
          <w:b/>
          <w:color w:val="auto"/>
          <w:sz w:val="22"/>
          <w:szCs w:val="22"/>
        </w:rPr>
      </w:pPr>
    </w:p>
    <w:p w14:paraId="3FB1319B" w14:textId="77777777" w:rsidR="00D272D7" w:rsidRPr="000034E4" w:rsidRDefault="00D272D7" w:rsidP="00D272D7">
      <w:pPr>
        <w:pStyle w:val="Default"/>
        <w:jc w:val="both"/>
        <w:rPr>
          <w:rFonts w:asciiTheme="minorHAnsi" w:hAnsiTheme="minorHAnsi" w:cstheme="minorHAnsi"/>
          <w:bCs/>
          <w:color w:val="auto"/>
        </w:rPr>
      </w:pPr>
      <w:r w:rsidRPr="003D08F9">
        <w:rPr>
          <w:rFonts w:asciiTheme="minorHAnsi" w:hAnsiTheme="minorHAnsi" w:cstheme="minorHAnsi"/>
          <w:noProof/>
          <w:lang w:val="es-CO" w:eastAsia="es-CO"/>
        </w:rPr>
        <w:drawing>
          <wp:inline distT="0" distB="0" distL="0" distR="0" wp14:anchorId="4871E809" wp14:editId="54DF6CA5">
            <wp:extent cx="5612130" cy="2071868"/>
            <wp:effectExtent l="0" t="0" r="7620" b="508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C8D35D" w14:textId="77777777" w:rsidR="00D272D7" w:rsidRPr="00D272D7" w:rsidRDefault="00D272D7" w:rsidP="0026044E">
      <w:pPr>
        <w:pStyle w:val="Default"/>
        <w:jc w:val="center"/>
        <w:rPr>
          <w:b/>
          <w:color w:val="auto"/>
          <w:sz w:val="18"/>
          <w:szCs w:val="18"/>
        </w:rPr>
      </w:pPr>
      <w:r w:rsidRPr="00D272D7">
        <w:rPr>
          <w:b/>
          <w:color w:val="auto"/>
          <w:sz w:val="18"/>
          <w:szCs w:val="18"/>
        </w:rPr>
        <w:t xml:space="preserve">Fuente: </w:t>
      </w:r>
      <w:r w:rsidRPr="00D272D7">
        <w:rPr>
          <w:bCs/>
          <w:color w:val="auto"/>
          <w:sz w:val="18"/>
          <w:szCs w:val="18"/>
        </w:rPr>
        <w:t>Resultados FURAG 2019 Departamento Administrativo de la Función Pública</w:t>
      </w:r>
    </w:p>
    <w:p w14:paraId="32615846" w14:textId="77777777" w:rsidR="00D272D7" w:rsidRDefault="00D272D7" w:rsidP="00D272D7">
      <w:pPr>
        <w:pStyle w:val="Default"/>
        <w:jc w:val="both"/>
        <w:rPr>
          <w:rFonts w:asciiTheme="minorHAnsi" w:hAnsiTheme="minorHAnsi" w:cstheme="minorHAnsi"/>
          <w:bCs/>
          <w:color w:val="auto"/>
        </w:rPr>
      </w:pPr>
    </w:p>
    <w:p w14:paraId="5B8445D4" w14:textId="77777777" w:rsidR="00D272D7" w:rsidRPr="00D272D7" w:rsidRDefault="00D272D7" w:rsidP="00D272D7">
      <w:pPr>
        <w:pStyle w:val="Default"/>
        <w:jc w:val="both"/>
        <w:rPr>
          <w:color w:val="auto"/>
          <w:sz w:val="22"/>
          <w:szCs w:val="22"/>
        </w:rPr>
      </w:pPr>
      <w:r w:rsidRPr="00D272D7">
        <w:rPr>
          <w:color w:val="auto"/>
          <w:sz w:val="22"/>
          <w:szCs w:val="22"/>
        </w:rPr>
        <w:t>En la gráfica se observa que la dimensión de gestión del conocimiento y la innovación obtuvo el índice más alto con un resultado de 99.6 y la dimensión con el índice más bajo corresponde a la de Evaluación de resultados con 80.3.</w:t>
      </w:r>
    </w:p>
    <w:p w14:paraId="7C77AC08" w14:textId="77777777" w:rsidR="00D272D7" w:rsidRPr="00D272D7" w:rsidRDefault="00D272D7" w:rsidP="00D272D7">
      <w:pPr>
        <w:pStyle w:val="Default"/>
        <w:jc w:val="both"/>
        <w:rPr>
          <w:bCs/>
          <w:color w:val="auto"/>
          <w:sz w:val="22"/>
          <w:szCs w:val="22"/>
        </w:rPr>
      </w:pPr>
    </w:p>
    <w:p w14:paraId="160F9CD4" w14:textId="7BE6DF47" w:rsidR="00D272D7" w:rsidRPr="00D272D7" w:rsidRDefault="00D272D7" w:rsidP="00D272D7">
      <w:pPr>
        <w:pStyle w:val="Default"/>
        <w:jc w:val="both"/>
        <w:rPr>
          <w:b/>
          <w:color w:val="auto"/>
          <w:sz w:val="22"/>
          <w:szCs w:val="22"/>
        </w:rPr>
      </w:pPr>
      <w:r w:rsidRPr="00D272D7">
        <w:rPr>
          <w:b/>
          <w:color w:val="auto"/>
          <w:sz w:val="22"/>
          <w:szCs w:val="22"/>
        </w:rPr>
        <w:t>Comparación de resultados índice por dimensión 2018 – 2019</w:t>
      </w:r>
    </w:p>
    <w:p w14:paraId="6310AEC9" w14:textId="77777777" w:rsidR="00D272D7" w:rsidRPr="00D272D7" w:rsidRDefault="00D272D7" w:rsidP="00D272D7">
      <w:pPr>
        <w:pStyle w:val="Default"/>
        <w:jc w:val="both"/>
        <w:rPr>
          <w:b/>
          <w:color w:val="auto"/>
        </w:rPr>
      </w:pPr>
    </w:p>
    <w:p w14:paraId="70003679" w14:textId="77777777" w:rsidR="00D272D7" w:rsidRPr="00D272D7" w:rsidRDefault="00D272D7" w:rsidP="00D272D7">
      <w:pPr>
        <w:pStyle w:val="Default"/>
        <w:jc w:val="both"/>
        <w:rPr>
          <w:bCs/>
          <w:color w:val="auto"/>
        </w:rPr>
      </w:pPr>
      <w:r w:rsidRPr="00D272D7">
        <w:rPr>
          <w:b/>
          <w:noProof/>
          <w:lang w:val="es-CO" w:eastAsia="es-CO"/>
        </w:rPr>
        <w:drawing>
          <wp:inline distT="0" distB="0" distL="0" distR="0" wp14:anchorId="1A57EBCE" wp14:editId="39FE0CF6">
            <wp:extent cx="5612130" cy="2453833"/>
            <wp:effectExtent l="57150" t="0" r="64770" b="118110"/>
            <wp:docPr id="1816893760" name="Gráfico 18168937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36A868" w14:textId="77777777" w:rsidR="00D272D7" w:rsidRPr="00D272D7" w:rsidRDefault="00D272D7" w:rsidP="0026044E">
      <w:pPr>
        <w:pStyle w:val="Default"/>
        <w:jc w:val="center"/>
        <w:rPr>
          <w:b/>
          <w:color w:val="auto"/>
          <w:sz w:val="18"/>
          <w:szCs w:val="18"/>
        </w:rPr>
      </w:pPr>
      <w:r w:rsidRPr="00D272D7">
        <w:rPr>
          <w:b/>
          <w:color w:val="auto"/>
          <w:sz w:val="18"/>
          <w:szCs w:val="18"/>
        </w:rPr>
        <w:t xml:space="preserve">Fuente: </w:t>
      </w:r>
      <w:r w:rsidRPr="00D272D7">
        <w:rPr>
          <w:bCs/>
          <w:color w:val="auto"/>
          <w:sz w:val="18"/>
          <w:szCs w:val="18"/>
        </w:rPr>
        <w:t>Resultados FURAG 2018 y 2019 Departamento Administrativo de la Función Pública</w:t>
      </w:r>
    </w:p>
    <w:p w14:paraId="72E77FB6" w14:textId="77777777" w:rsidR="00D272D7" w:rsidRPr="00D272D7" w:rsidRDefault="00D272D7" w:rsidP="00D272D7">
      <w:pPr>
        <w:pStyle w:val="Default"/>
        <w:jc w:val="both"/>
        <w:rPr>
          <w:bCs/>
          <w:color w:val="auto"/>
        </w:rPr>
      </w:pPr>
    </w:p>
    <w:p w14:paraId="361B5278" w14:textId="77777777" w:rsidR="00D272D7" w:rsidRPr="00D272D7" w:rsidRDefault="00D272D7" w:rsidP="00D272D7">
      <w:pPr>
        <w:pStyle w:val="Default"/>
        <w:jc w:val="both"/>
        <w:rPr>
          <w:color w:val="auto"/>
          <w:sz w:val="22"/>
          <w:szCs w:val="22"/>
        </w:rPr>
      </w:pPr>
      <w:r w:rsidRPr="00D272D7">
        <w:rPr>
          <w:color w:val="auto"/>
          <w:sz w:val="22"/>
          <w:szCs w:val="22"/>
        </w:rPr>
        <w:t>Realizando la comparación de los resultados obtenidos en las vigencias de 2018 y 2019, se observa una importante mejora en todas las dimensiones así: Gestión del conocimiento y la innovación de 87,0 a 99,6; Control interno de 79,3 a 93,5; Gestión con valores de 79,5 a 92,0; Información y comunicación de 80,7 a 89,0; Talento humano de 76,2 a 88,9; Direccionamiento estratégico de 77,8 a 87,1 y Evaluación de resultados de 79,1 a 80,3.</w:t>
      </w:r>
    </w:p>
    <w:p w14:paraId="4FC3EF6A" w14:textId="72B6627B" w:rsidR="00A36758" w:rsidRPr="00D272D7" w:rsidRDefault="00D272D7" w:rsidP="00D272D7">
      <w:pPr>
        <w:pStyle w:val="Default"/>
        <w:jc w:val="both"/>
        <w:rPr>
          <w:b/>
          <w:color w:val="auto"/>
          <w:sz w:val="22"/>
          <w:szCs w:val="22"/>
        </w:rPr>
      </w:pPr>
      <w:r w:rsidRPr="00D272D7">
        <w:rPr>
          <w:b/>
          <w:color w:val="auto"/>
          <w:sz w:val="22"/>
          <w:szCs w:val="22"/>
        </w:rPr>
        <w:lastRenderedPageBreak/>
        <w:t>Índice por política de gestión y desempeño 2019</w:t>
      </w:r>
    </w:p>
    <w:p w14:paraId="0FECC68F" w14:textId="77777777" w:rsidR="00A36758" w:rsidRDefault="00A36758" w:rsidP="00D272D7">
      <w:pPr>
        <w:pStyle w:val="Default"/>
        <w:jc w:val="both"/>
        <w:rPr>
          <w:b/>
          <w:color w:val="auto"/>
          <w:sz w:val="22"/>
          <w:szCs w:val="22"/>
        </w:rPr>
      </w:pPr>
    </w:p>
    <w:p w14:paraId="6435A023" w14:textId="232CFCD9" w:rsidR="00D272D7" w:rsidRPr="00D272D7" w:rsidRDefault="00D272D7" w:rsidP="00D272D7">
      <w:pPr>
        <w:pStyle w:val="Default"/>
        <w:jc w:val="both"/>
        <w:rPr>
          <w:bCs/>
          <w:color w:val="auto"/>
        </w:rPr>
      </w:pPr>
      <w:r w:rsidRPr="00D272D7">
        <w:rPr>
          <w:noProof/>
          <w:lang w:val="es-CO" w:eastAsia="es-CO"/>
        </w:rPr>
        <w:drawing>
          <wp:inline distT="0" distB="0" distL="0" distR="0" wp14:anchorId="62440C03" wp14:editId="678DB657">
            <wp:extent cx="5612130" cy="2176040"/>
            <wp:effectExtent l="57150" t="0" r="64770" b="110490"/>
            <wp:docPr id="1816893761" name="Gráfico 18168937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4D5180" w14:textId="77777777" w:rsidR="00D272D7" w:rsidRPr="00D272D7" w:rsidRDefault="00D272D7" w:rsidP="0026044E">
      <w:pPr>
        <w:pStyle w:val="Default"/>
        <w:jc w:val="center"/>
        <w:rPr>
          <w:b/>
          <w:color w:val="auto"/>
          <w:sz w:val="18"/>
          <w:szCs w:val="18"/>
        </w:rPr>
      </w:pPr>
      <w:r w:rsidRPr="00D272D7">
        <w:rPr>
          <w:b/>
          <w:color w:val="auto"/>
          <w:sz w:val="18"/>
          <w:szCs w:val="18"/>
        </w:rPr>
        <w:t xml:space="preserve">Fuente: </w:t>
      </w:r>
      <w:r w:rsidRPr="00D272D7">
        <w:rPr>
          <w:bCs/>
          <w:color w:val="auto"/>
          <w:sz w:val="18"/>
          <w:szCs w:val="18"/>
        </w:rPr>
        <w:t>Resultados FURAG 2019 Departamento Administrativo de la Función Pública</w:t>
      </w:r>
    </w:p>
    <w:p w14:paraId="56B96506" w14:textId="77777777" w:rsidR="00A36758" w:rsidRDefault="00A36758" w:rsidP="00D272D7">
      <w:pPr>
        <w:pStyle w:val="Default"/>
        <w:jc w:val="both"/>
        <w:rPr>
          <w:bCs/>
          <w:color w:val="auto"/>
          <w:sz w:val="22"/>
          <w:szCs w:val="22"/>
        </w:rPr>
      </w:pPr>
    </w:p>
    <w:p w14:paraId="36C08808" w14:textId="76EBFF98" w:rsidR="00D272D7" w:rsidRPr="00D272D7" w:rsidRDefault="00D272D7" w:rsidP="00D272D7">
      <w:pPr>
        <w:pStyle w:val="Default"/>
        <w:jc w:val="both"/>
        <w:rPr>
          <w:bCs/>
          <w:color w:val="auto"/>
          <w:sz w:val="22"/>
          <w:szCs w:val="22"/>
        </w:rPr>
      </w:pPr>
      <w:r w:rsidRPr="00D272D7">
        <w:rPr>
          <w:bCs/>
          <w:color w:val="auto"/>
          <w:sz w:val="22"/>
          <w:szCs w:val="22"/>
        </w:rPr>
        <w:t>En la gráfica se observa que las políticas de gestión y desempeño de Gestión del conocimiento y la innovación, Servicio al ciudadano, Seguridad digital y Control interno, se encuentran con índices por encima de 90,0. Por otro lado, la política de Defensa jurídica obtuvo un índice por debajo de 80,0.</w:t>
      </w:r>
    </w:p>
    <w:p w14:paraId="132F79C5" w14:textId="77777777" w:rsidR="00D272D7" w:rsidRPr="00D272D7" w:rsidRDefault="00D272D7" w:rsidP="00D272D7">
      <w:pPr>
        <w:pStyle w:val="Default"/>
        <w:jc w:val="both"/>
        <w:rPr>
          <w:bCs/>
          <w:color w:val="auto"/>
          <w:sz w:val="22"/>
          <w:szCs w:val="22"/>
        </w:rPr>
      </w:pPr>
    </w:p>
    <w:p w14:paraId="1F5F2C65" w14:textId="120E48F0" w:rsidR="00D272D7" w:rsidRDefault="00D272D7" w:rsidP="00D272D7">
      <w:pPr>
        <w:pStyle w:val="Default"/>
        <w:jc w:val="both"/>
        <w:rPr>
          <w:b/>
          <w:color w:val="auto"/>
          <w:sz w:val="22"/>
          <w:szCs w:val="22"/>
        </w:rPr>
      </w:pPr>
      <w:r w:rsidRPr="00D272D7">
        <w:rPr>
          <w:b/>
          <w:color w:val="auto"/>
          <w:sz w:val="22"/>
          <w:szCs w:val="22"/>
        </w:rPr>
        <w:t>Comparación de resultados índice por política de gestión y desempeño 2018-2019</w:t>
      </w:r>
    </w:p>
    <w:p w14:paraId="4910D297" w14:textId="77777777" w:rsidR="00D272D7" w:rsidRPr="00D272D7" w:rsidRDefault="00D272D7" w:rsidP="00D272D7">
      <w:pPr>
        <w:pStyle w:val="Default"/>
        <w:jc w:val="both"/>
        <w:rPr>
          <w:b/>
          <w:color w:val="auto"/>
          <w:sz w:val="22"/>
          <w:szCs w:val="22"/>
        </w:rPr>
      </w:pPr>
    </w:p>
    <w:p w14:paraId="2136F084" w14:textId="77777777" w:rsidR="00D272D7" w:rsidRPr="00D272D7" w:rsidRDefault="00D272D7" w:rsidP="0026044E">
      <w:pPr>
        <w:pStyle w:val="Default"/>
        <w:jc w:val="center"/>
        <w:rPr>
          <w:bCs/>
          <w:color w:val="auto"/>
        </w:rPr>
      </w:pPr>
      <w:r w:rsidRPr="00D272D7">
        <w:rPr>
          <w:noProof/>
          <w:lang w:val="es-CO" w:eastAsia="es-CO"/>
        </w:rPr>
        <w:drawing>
          <wp:inline distT="0" distB="0" distL="0" distR="0" wp14:anchorId="42990CFC" wp14:editId="0F805D26">
            <wp:extent cx="5391150" cy="1943100"/>
            <wp:effectExtent l="57150" t="0" r="57150" b="114300"/>
            <wp:docPr id="1816893762" name="Gráfico 18168937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3B5B8EA" w14:textId="77777777" w:rsidR="00D272D7" w:rsidRPr="00D272D7" w:rsidRDefault="00D272D7" w:rsidP="0026044E">
      <w:pPr>
        <w:pStyle w:val="Default"/>
        <w:jc w:val="center"/>
        <w:rPr>
          <w:b/>
          <w:color w:val="auto"/>
          <w:sz w:val="18"/>
          <w:szCs w:val="18"/>
        </w:rPr>
      </w:pPr>
      <w:r w:rsidRPr="00D272D7">
        <w:rPr>
          <w:b/>
          <w:color w:val="auto"/>
          <w:sz w:val="18"/>
          <w:szCs w:val="18"/>
        </w:rPr>
        <w:t xml:space="preserve">Fuente: </w:t>
      </w:r>
      <w:r w:rsidRPr="00D272D7">
        <w:rPr>
          <w:bCs/>
          <w:color w:val="auto"/>
          <w:sz w:val="18"/>
          <w:szCs w:val="18"/>
        </w:rPr>
        <w:t>Resultados FURAG 2018 y 2019 Departamento Administrativo de la Función Pública</w:t>
      </w:r>
    </w:p>
    <w:p w14:paraId="7D83D55A" w14:textId="77777777" w:rsidR="00D272D7" w:rsidRPr="00D272D7" w:rsidRDefault="00D272D7" w:rsidP="00D272D7">
      <w:pPr>
        <w:pStyle w:val="Default"/>
        <w:jc w:val="both"/>
        <w:rPr>
          <w:bCs/>
          <w:color w:val="auto"/>
        </w:rPr>
      </w:pPr>
    </w:p>
    <w:p w14:paraId="459CD08F" w14:textId="77777777" w:rsidR="00D272D7" w:rsidRPr="00D272D7" w:rsidRDefault="00D272D7" w:rsidP="00D272D7">
      <w:pPr>
        <w:pStyle w:val="Default"/>
        <w:jc w:val="both"/>
        <w:rPr>
          <w:b/>
          <w:color w:val="auto"/>
          <w:sz w:val="18"/>
          <w:szCs w:val="18"/>
          <w:highlight w:val="yellow"/>
        </w:rPr>
      </w:pPr>
      <w:r w:rsidRPr="00D272D7">
        <w:rPr>
          <w:color w:val="auto"/>
          <w:sz w:val="22"/>
          <w:szCs w:val="22"/>
        </w:rPr>
        <w:t>Realizando la comparación de los resultados obtenidos en los índices de las políticas de gestión y desempeño en las vigencias de 2018 y 2019, se observa que la política de Seguridad digital mejoró notablemente pasando de 73,0 a 96,0. Igualmente se observan resultados importantes en las políticas de Servicio al ciudadano de 82,0 a 96,3; Control interno de 79,3 a 93,5; Gestión estratégica del talento humano de 74,1 a 88,1 y Gestión del conocimiento de 87,0 a 96,6.</w:t>
      </w:r>
    </w:p>
    <w:p w14:paraId="1BD9A312" w14:textId="77777777" w:rsidR="00D272D7" w:rsidRDefault="00D272D7" w:rsidP="00D272D7">
      <w:pPr>
        <w:pStyle w:val="Default"/>
        <w:jc w:val="both"/>
        <w:rPr>
          <w:b/>
          <w:color w:val="auto"/>
          <w:sz w:val="22"/>
          <w:szCs w:val="22"/>
        </w:rPr>
      </w:pPr>
    </w:p>
    <w:p w14:paraId="2D78D3CB" w14:textId="59ECFC99" w:rsidR="00D272D7" w:rsidRDefault="00D272D7" w:rsidP="00D272D7">
      <w:pPr>
        <w:pStyle w:val="Default"/>
        <w:jc w:val="both"/>
        <w:rPr>
          <w:b/>
          <w:sz w:val="22"/>
          <w:szCs w:val="22"/>
          <w:lang w:val="es-CO"/>
        </w:rPr>
      </w:pPr>
      <w:r w:rsidRPr="00D272D7">
        <w:rPr>
          <w:b/>
          <w:color w:val="auto"/>
          <w:sz w:val="22"/>
          <w:szCs w:val="22"/>
        </w:rPr>
        <w:lastRenderedPageBreak/>
        <w:t xml:space="preserve">Índice Modelo Estándar de Control Interno - </w:t>
      </w:r>
      <w:r w:rsidR="00A36758">
        <w:rPr>
          <w:b/>
          <w:color w:val="auto"/>
          <w:sz w:val="22"/>
          <w:szCs w:val="22"/>
        </w:rPr>
        <w:t>c</w:t>
      </w:r>
      <w:proofErr w:type="spellStart"/>
      <w:r w:rsidRPr="00D272D7">
        <w:rPr>
          <w:b/>
          <w:sz w:val="22"/>
          <w:szCs w:val="22"/>
          <w:lang w:val="es-CO"/>
        </w:rPr>
        <w:t>omparación</w:t>
      </w:r>
      <w:proofErr w:type="spellEnd"/>
      <w:r w:rsidRPr="00D272D7">
        <w:rPr>
          <w:b/>
          <w:sz w:val="22"/>
          <w:szCs w:val="22"/>
          <w:lang w:val="es-CO"/>
        </w:rPr>
        <w:t xml:space="preserve"> resultado índice MECI 2018-2019</w:t>
      </w:r>
    </w:p>
    <w:p w14:paraId="51156281" w14:textId="77777777" w:rsidR="00A36758" w:rsidRPr="00D272D7" w:rsidRDefault="00A36758" w:rsidP="00D272D7">
      <w:pPr>
        <w:pStyle w:val="Default"/>
        <w:jc w:val="both"/>
        <w:rPr>
          <w:b/>
          <w:sz w:val="22"/>
          <w:szCs w:val="22"/>
          <w:lang w:val="es-CO"/>
        </w:rPr>
      </w:pPr>
    </w:p>
    <w:p w14:paraId="0F61E6E5" w14:textId="77777777" w:rsidR="00D272D7" w:rsidRPr="00D272D7" w:rsidRDefault="00D272D7" w:rsidP="0026044E">
      <w:pPr>
        <w:pStyle w:val="Default"/>
        <w:jc w:val="center"/>
        <w:rPr>
          <w:b/>
          <w:sz w:val="20"/>
          <w:szCs w:val="20"/>
          <w:lang w:val="es-CO"/>
        </w:rPr>
      </w:pPr>
      <w:r w:rsidRPr="00D272D7">
        <w:rPr>
          <w:bCs/>
          <w:noProof/>
          <w:color w:val="auto"/>
          <w:lang w:val="es-CO" w:eastAsia="es-CO"/>
        </w:rPr>
        <w:drawing>
          <wp:inline distT="0" distB="0" distL="0" distR="0" wp14:anchorId="3A718C8B" wp14:editId="16B9F71C">
            <wp:extent cx="4867275" cy="2409825"/>
            <wp:effectExtent l="57150" t="0" r="47625" b="10477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E391FE" w14:textId="77777777" w:rsidR="00D272D7" w:rsidRPr="00D272D7" w:rsidRDefault="00D272D7" w:rsidP="0026044E">
      <w:pPr>
        <w:pStyle w:val="Default"/>
        <w:jc w:val="center"/>
        <w:rPr>
          <w:b/>
          <w:color w:val="auto"/>
          <w:sz w:val="18"/>
          <w:szCs w:val="18"/>
        </w:rPr>
      </w:pPr>
      <w:r w:rsidRPr="00D272D7">
        <w:rPr>
          <w:b/>
          <w:color w:val="auto"/>
          <w:sz w:val="18"/>
          <w:szCs w:val="18"/>
        </w:rPr>
        <w:t xml:space="preserve">Fuente: </w:t>
      </w:r>
      <w:r w:rsidRPr="00D272D7">
        <w:rPr>
          <w:bCs/>
          <w:color w:val="auto"/>
          <w:sz w:val="18"/>
          <w:szCs w:val="18"/>
        </w:rPr>
        <w:t>Resultados FURAG 2018 y 2019 Departamento Administrativo de la Función Pública</w:t>
      </w:r>
    </w:p>
    <w:p w14:paraId="6A649CF4" w14:textId="77777777" w:rsidR="00D272D7" w:rsidRPr="00D272D7" w:rsidRDefault="00D272D7" w:rsidP="00D272D7">
      <w:pPr>
        <w:pStyle w:val="Default"/>
        <w:jc w:val="both"/>
        <w:rPr>
          <w:bCs/>
          <w:color w:val="auto"/>
        </w:rPr>
      </w:pPr>
    </w:p>
    <w:p w14:paraId="30E63B1F" w14:textId="77777777" w:rsidR="00D272D7" w:rsidRPr="00D272D7" w:rsidRDefault="00D272D7" w:rsidP="00D272D7">
      <w:pPr>
        <w:pStyle w:val="Default"/>
        <w:jc w:val="both"/>
        <w:rPr>
          <w:bCs/>
          <w:color w:val="auto"/>
          <w:sz w:val="22"/>
          <w:szCs w:val="22"/>
        </w:rPr>
      </w:pPr>
      <w:r w:rsidRPr="00D272D7">
        <w:rPr>
          <w:bCs/>
          <w:color w:val="auto"/>
          <w:sz w:val="22"/>
          <w:szCs w:val="22"/>
        </w:rPr>
        <w:t>Realizando la comparación de los resultados del Índice del Modelo Estándar de Control Interno de la Secretaría Distrital de Integración Social para las vigencias 2018 y 2019, evidenciamos una importante mejora pasando de 83.1 a 93,5.</w:t>
      </w:r>
    </w:p>
    <w:p w14:paraId="0B76DF1E" w14:textId="77777777" w:rsidR="00D272D7" w:rsidRPr="00D272D7" w:rsidRDefault="00D272D7" w:rsidP="00D272D7">
      <w:pPr>
        <w:pStyle w:val="Default"/>
        <w:jc w:val="both"/>
        <w:rPr>
          <w:bCs/>
          <w:color w:val="auto"/>
          <w:sz w:val="22"/>
          <w:szCs w:val="22"/>
        </w:rPr>
      </w:pPr>
    </w:p>
    <w:p w14:paraId="6A5A46FB" w14:textId="0751B1D9" w:rsidR="00D272D7" w:rsidRDefault="00D272D7" w:rsidP="00D272D7">
      <w:pPr>
        <w:pStyle w:val="Default"/>
        <w:jc w:val="both"/>
        <w:rPr>
          <w:b/>
          <w:color w:val="auto"/>
          <w:sz w:val="22"/>
          <w:szCs w:val="22"/>
        </w:rPr>
      </w:pPr>
      <w:r w:rsidRPr="00D272D7">
        <w:rPr>
          <w:b/>
          <w:color w:val="auto"/>
          <w:sz w:val="22"/>
          <w:szCs w:val="22"/>
        </w:rPr>
        <w:t>Índice por componente del MECI</w:t>
      </w:r>
    </w:p>
    <w:p w14:paraId="6420902C" w14:textId="77777777" w:rsidR="00D272D7" w:rsidRPr="00D272D7" w:rsidRDefault="00D272D7" w:rsidP="00D272D7">
      <w:pPr>
        <w:pStyle w:val="Default"/>
        <w:jc w:val="both"/>
        <w:rPr>
          <w:b/>
          <w:color w:val="auto"/>
          <w:sz w:val="22"/>
          <w:szCs w:val="22"/>
        </w:rPr>
      </w:pPr>
    </w:p>
    <w:p w14:paraId="2461F728" w14:textId="77777777" w:rsidR="00D272D7" w:rsidRPr="00D272D7" w:rsidRDefault="00D272D7" w:rsidP="00D272D7">
      <w:pPr>
        <w:pStyle w:val="Default"/>
        <w:jc w:val="both"/>
        <w:rPr>
          <w:bCs/>
          <w:color w:val="auto"/>
        </w:rPr>
      </w:pPr>
      <w:r w:rsidRPr="00D272D7">
        <w:rPr>
          <w:b/>
          <w:noProof/>
          <w:lang w:val="es-CO" w:eastAsia="es-CO"/>
        </w:rPr>
        <w:drawing>
          <wp:inline distT="0" distB="0" distL="0" distR="0" wp14:anchorId="22D4E998" wp14:editId="633866EA">
            <wp:extent cx="5612130" cy="2333625"/>
            <wp:effectExtent l="57150" t="0" r="64770" b="104775"/>
            <wp:docPr id="1816893764" name="Gráfico 18168937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53898E" w14:textId="77777777" w:rsidR="00D272D7" w:rsidRPr="00D272D7" w:rsidRDefault="00D272D7" w:rsidP="0026044E">
      <w:pPr>
        <w:pStyle w:val="Default"/>
        <w:jc w:val="center"/>
        <w:rPr>
          <w:b/>
          <w:color w:val="auto"/>
          <w:sz w:val="18"/>
          <w:szCs w:val="18"/>
        </w:rPr>
      </w:pPr>
      <w:r w:rsidRPr="00D272D7">
        <w:rPr>
          <w:b/>
          <w:color w:val="auto"/>
          <w:sz w:val="18"/>
          <w:szCs w:val="18"/>
        </w:rPr>
        <w:t xml:space="preserve">Fuente: </w:t>
      </w:r>
      <w:r w:rsidRPr="00D272D7">
        <w:rPr>
          <w:bCs/>
          <w:color w:val="auto"/>
          <w:sz w:val="18"/>
          <w:szCs w:val="18"/>
        </w:rPr>
        <w:t>Resultados FURAG 2019 Departamento Administrativo de la Función Pública</w:t>
      </w:r>
    </w:p>
    <w:p w14:paraId="68D0E620" w14:textId="77777777" w:rsidR="00D272D7" w:rsidRPr="00D272D7" w:rsidRDefault="00D272D7" w:rsidP="00D272D7">
      <w:pPr>
        <w:pStyle w:val="Default"/>
        <w:jc w:val="both"/>
        <w:rPr>
          <w:bCs/>
          <w:color w:val="auto"/>
        </w:rPr>
      </w:pPr>
    </w:p>
    <w:p w14:paraId="311935CA" w14:textId="49C97E3F" w:rsidR="00D272D7" w:rsidRDefault="00D272D7" w:rsidP="00D272D7">
      <w:pPr>
        <w:pStyle w:val="Default"/>
        <w:jc w:val="both"/>
        <w:rPr>
          <w:bCs/>
          <w:color w:val="auto"/>
          <w:sz w:val="22"/>
          <w:szCs w:val="22"/>
        </w:rPr>
      </w:pPr>
      <w:r w:rsidRPr="00D272D7">
        <w:rPr>
          <w:bCs/>
          <w:color w:val="auto"/>
          <w:sz w:val="22"/>
          <w:szCs w:val="22"/>
        </w:rPr>
        <w:t>Como se observa en la gráfica, el componente con el índice más alto es el de evaluación del riesgo con 93,6. Los índices de actividades de control y ambiente de control se encuentran en 89,5 y 89,4 respectivamente.</w:t>
      </w:r>
    </w:p>
    <w:p w14:paraId="10ECA2EC" w14:textId="5047C69E" w:rsidR="00D272D7" w:rsidRPr="00D272D7" w:rsidRDefault="00D272D7" w:rsidP="00D272D7">
      <w:pPr>
        <w:pStyle w:val="Default"/>
        <w:jc w:val="both"/>
        <w:rPr>
          <w:b/>
          <w:color w:val="auto"/>
          <w:sz w:val="22"/>
          <w:szCs w:val="22"/>
        </w:rPr>
      </w:pPr>
      <w:r w:rsidRPr="00D272D7">
        <w:rPr>
          <w:b/>
          <w:color w:val="auto"/>
          <w:sz w:val="22"/>
          <w:szCs w:val="22"/>
        </w:rPr>
        <w:lastRenderedPageBreak/>
        <w:t>Comparación de resultados índice por componentes del MECI 2018 – 2019</w:t>
      </w:r>
    </w:p>
    <w:p w14:paraId="6C9B850C" w14:textId="77777777" w:rsidR="00D272D7" w:rsidRPr="00D272D7" w:rsidRDefault="00D272D7" w:rsidP="00D272D7">
      <w:pPr>
        <w:pStyle w:val="Default"/>
        <w:jc w:val="both"/>
        <w:rPr>
          <w:b/>
          <w:color w:val="auto"/>
        </w:rPr>
      </w:pPr>
    </w:p>
    <w:p w14:paraId="6132EB35" w14:textId="77777777" w:rsidR="00D272D7" w:rsidRPr="00D272D7" w:rsidRDefault="00D272D7" w:rsidP="00D272D7">
      <w:pPr>
        <w:pStyle w:val="Default"/>
        <w:jc w:val="both"/>
        <w:rPr>
          <w:bCs/>
          <w:color w:val="auto"/>
        </w:rPr>
      </w:pPr>
      <w:r w:rsidRPr="00D272D7">
        <w:rPr>
          <w:bCs/>
          <w:noProof/>
          <w:color w:val="auto"/>
          <w:lang w:val="es-CO" w:eastAsia="es-CO"/>
        </w:rPr>
        <w:drawing>
          <wp:inline distT="0" distB="0" distL="0" distR="0" wp14:anchorId="20A6642B" wp14:editId="58AE145D">
            <wp:extent cx="5612130" cy="2457450"/>
            <wp:effectExtent l="57150" t="0" r="64770" b="114300"/>
            <wp:docPr id="1816893765" name="Gráfico 18168937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764849" w14:textId="77777777" w:rsidR="00D272D7" w:rsidRPr="00D272D7" w:rsidRDefault="00D272D7" w:rsidP="0026044E">
      <w:pPr>
        <w:pStyle w:val="Default"/>
        <w:jc w:val="center"/>
        <w:rPr>
          <w:b/>
          <w:color w:val="auto"/>
          <w:sz w:val="18"/>
          <w:szCs w:val="18"/>
        </w:rPr>
      </w:pPr>
      <w:r w:rsidRPr="00D272D7">
        <w:rPr>
          <w:b/>
          <w:color w:val="auto"/>
          <w:sz w:val="18"/>
          <w:szCs w:val="18"/>
        </w:rPr>
        <w:t xml:space="preserve">Fuente: </w:t>
      </w:r>
      <w:r w:rsidRPr="00D272D7">
        <w:rPr>
          <w:bCs/>
          <w:color w:val="auto"/>
          <w:sz w:val="18"/>
          <w:szCs w:val="18"/>
        </w:rPr>
        <w:t>Resultados FURAG 2018 y 2019 Departamento Administrativo de la Función Pública</w:t>
      </w:r>
    </w:p>
    <w:p w14:paraId="49C01846" w14:textId="77777777" w:rsidR="00D272D7" w:rsidRPr="00D272D7" w:rsidRDefault="00D272D7" w:rsidP="00D272D7">
      <w:pPr>
        <w:pStyle w:val="Default"/>
        <w:jc w:val="both"/>
        <w:rPr>
          <w:bCs/>
          <w:color w:val="auto"/>
        </w:rPr>
      </w:pPr>
    </w:p>
    <w:p w14:paraId="697003BA" w14:textId="77777777" w:rsidR="00D272D7" w:rsidRPr="00D272D7" w:rsidRDefault="00D272D7" w:rsidP="00D272D7">
      <w:pPr>
        <w:pStyle w:val="Default"/>
        <w:jc w:val="both"/>
        <w:rPr>
          <w:color w:val="auto"/>
          <w:sz w:val="22"/>
          <w:szCs w:val="22"/>
        </w:rPr>
      </w:pPr>
      <w:r w:rsidRPr="00D272D7">
        <w:rPr>
          <w:color w:val="auto"/>
          <w:sz w:val="22"/>
          <w:szCs w:val="22"/>
        </w:rPr>
        <w:t>Realizando la comparación de los resultados obtenidos en los índices de los componentes del MECI en las vigencias de 2018 y 2019, se observa que el componente evaluación del riesgo mejoró notablemente pasando de 77,3 a 93,6 seguido de actividades de monitoreo que pasó de 77,9 a 92,8.</w:t>
      </w:r>
    </w:p>
    <w:p w14:paraId="094BEFA8" w14:textId="77777777" w:rsidR="00D272D7" w:rsidRPr="00D272D7" w:rsidRDefault="00D272D7" w:rsidP="00D272D7">
      <w:pPr>
        <w:pStyle w:val="Default"/>
        <w:jc w:val="both"/>
        <w:rPr>
          <w:bCs/>
          <w:color w:val="auto"/>
        </w:rPr>
      </w:pPr>
    </w:p>
    <w:p w14:paraId="4135C7E3" w14:textId="52BE684A" w:rsidR="00D272D7" w:rsidRDefault="00D272D7" w:rsidP="00D272D7">
      <w:pPr>
        <w:pStyle w:val="Default"/>
        <w:jc w:val="both"/>
        <w:rPr>
          <w:b/>
          <w:color w:val="auto"/>
        </w:rPr>
      </w:pPr>
      <w:r w:rsidRPr="00D272D7">
        <w:rPr>
          <w:b/>
          <w:color w:val="auto"/>
          <w:sz w:val="22"/>
          <w:szCs w:val="22"/>
        </w:rPr>
        <w:t>Índice por línea de defensa 2019</w:t>
      </w:r>
    </w:p>
    <w:p w14:paraId="6DB3C35C" w14:textId="77777777" w:rsidR="00D272D7" w:rsidRPr="00D272D7" w:rsidRDefault="00D272D7" w:rsidP="00D272D7">
      <w:pPr>
        <w:pStyle w:val="Default"/>
        <w:jc w:val="both"/>
        <w:rPr>
          <w:b/>
          <w:color w:val="auto"/>
        </w:rPr>
      </w:pPr>
    </w:p>
    <w:p w14:paraId="474230B9" w14:textId="77777777" w:rsidR="00D272D7" w:rsidRPr="00D272D7" w:rsidRDefault="00D272D7" w:rsidP="00D272D7">
      <w:pPr>
        <w:pStyle w:val="Default"/>
        <w:jc w:val="both"/>
        <w:rPr>
          <w:bCs/>
          <w:color w:val="auto"/>
        </w:rPr>
      </w:pPr>
      <w:r w:rsidRPr="00D272D7">
        <w:rPr>
          <w:noProof/>
          <w:lang w:val="es-CO" w:eastAsia="es-CO"/>
        </w:rPr>
        <w:drawing>
          <wp:inline distT="0" distB="0" distL="0" distR="0" wp14:anchorId="600119FC" wp14:editId="2E50F58C">
            <wp:extent cx="5612130" cy="2362200"/>
            <wp:effectExtent l="57150" t="0" r="64770" b="114300"/>
            <wp:docPr id="1816893766" name="Gráfico 18168937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153FA34" w14:textId="77777777" w:rsidR="00D272D7" w:rsidRPr="00D272D7" w:rsidRDefault="00D272D7" w:rsidP="0026044E">
      <w:pPr>
        <w:pStyle w:val="Default"/>
        <w:jc w:val="center"/>
        <w:rPr>
          <w:b/>
          <w:color w:val="auto"/>
          <w:sz w:val="18"/>
          <w:szCs w:val="18"/>
        </w:rPr>
      </w:pPr>
      <w:r w:rsidRPr="00D272D7">
        <w:rPr>
          <w:b/>
          <w:color w:val="auto"/>
          <w:sz w:val="18"/>
          <w:szCs w:val="18"/>
        </w:rPr>
        <w:t xml:space="preserve">Fuente: </w:t>
      </w:r>
      <w:r w:rsidRPr="00D272D7">
        <w:rPr>
          <w:bCs/>
          <w:color w:val="auto"/>
          <w:sz w:val="18"/>
          <w:szCs w:val="18"/>
        </w:rPr>
        <w:t>Resultados FURAG 2019 Departamento Administrativo de la Función Pública</w:t>
      </w:r>
    </w:p>
    <w:p w14:paraId="1DB2844B" w14:textId="77777777" w:rsidR="00D272D7" w:rsidRPr="00D272D7" w:rsidRDefault="00D272D7" w:rsidP="00D272D7">
      <w:pPr>
        <w:pStyle w:val="Default"/>
        <w:jc w:val="both"/>
        <w:rPr>
          <w:bCs/>
          <w:color w:val="auto"/>
        </w:rPr>
      </w:pPr>
    </w:p>
    <w:p w14:paraId="1CE9B2E9" w14:textId="73A3536B" w:rsidR="00D272D7" w:rsidRDefault="00D272D7" w:rsidP="0026044E">
      <w:pPr>
        <w:pStyle w:val="Default"/>
        <w:rPr>
          <w:bCs/>
          <w:color w:val="auto"/>
          <w:sz w:val="22"/>
          <w:szCs w:val="22"/>
        </w:rPr>
      </w:pPr>
      <w:r w:rsidRPr="00D272D7">
        <w:rPr>
          <w:bCs/>
          <w:color w:val="auto"/>
          <w:sz w:val="22"/>
          <w:szCs w:val="22"/>
        </w:rPr>
        <w:lastRenderedPageBreak/>
        <w:t>Como se observa en la gráfica, el índice que presenta el mejor desempeño corresponde a la segunda línea de defensa con el 93,6 y el resultado más bajo lo obtuvo la primera línea de defensa con 89,8.</w:t>
      </w:r>
    </w:p>
    <w:p w14:paraId="4166E79A" w14:textId="77777777" w:rsidR="00D272D7" w:rsidRPr="00D272D7" w:rsidRDefault="00D272D7" w:rsidP="00D272D7">
      <w:pPr>
        <w:pStyle w:val="Default"/>
        <w:jc w:val="both"/>
        <w:rPr>
          <w:bCs/>
          <w:color w:val="auto"/>
          <w:sz w:val="22"/>
          <w:szCs w:val="22"/>
        </w:rPr>
      </w:pPr>
    </w:p>
    <w:p w14:paraId="4C8159F4" w14:textId="77777777" w:rsidR="00D272D7" w:rsidRPr="00D272D7" w:rsidRDefault="00D272D7" w:rsidP="00D272D7">
      <w:pPr>
        <w:pStyle w:val="Default"/>
        <w:jc w:val="both"/>
        <w:rPr>
          <w:b/>
          <w:color w:val="auto"/>
          <w:sz w:val="22"/>
          <w:szCs w:val="22"/>
        </w:rPr>
      </w:pPr>
      <w:r w:rsidRPr="00D272D7">
        <w:rPr>
          <w:b/>
          <w:color w:val="auto"/>
          <w:sz w:val="22"/>
          <w:szCs w:val="22"/>
        </w:rPr>
        <w:t>Comparación de resultados índice por línea de defensa 2018 – 2019</w:t>
      </w:r>
    </w:p>
    <w:p w14:paraId="1964C028" w14:textId="77777777" w:rsidR="00D272D7" w:rsidRPr="00D272D7" w:rsidRDefault="00D272D7" w:rsidP="00D272D7">
      <w:pPr>
        <w:pStyle w:val="Default"/>
        <w:jc w:val="both"/>
        <w:rPr>
          <w:bCs/>
          <w:color w:val="auto"/>
        </w:rPr>
      </w:pPr>
    </w:p>
    <w:p w14:paraId="492C8231" w14:textId="77777777" w:rsidR="00D272D7" w:rsidRPr="00D272D7" w:rsidRDefault="00D272D7" w:rsidP="00D272D7">
      <w:pPr>
        <w:pStyle w:val="Default"/>
        <w:jc w:val="both"/>
        <w:rPr>
          <w:bCs/>
          <w:color w:val="auto"/>
        </w:rPr>
      </w:pPr>
      <w:r w:rsidRPr="00D272D7">
        <w:rPr>
          <w:b/>
          <w:noProof/>
          <w:lang w:val="es-CO" w:eastAsia="es-CO"/>
        </w:rPr>
        <w:drawing>
          <wp:inline distT="0" distB="0" distL="0" distR="0" wp14:anchorId="5857A38A" wp14:editId="61891378">
            <wp:extent cx="5612130" cy="2238375"/>
            <wp:effectExtent l="57150" t="0" r="64770" b="104775"/>
            <wp:docPr id="1816893767" name="Gráfico 18168937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B8B6C77" w14:textId="77777777" w:rsidR="00D272D7" w:rsidRPr="00D272D7" w:rsidRDefault="00D272D7" w:rsidP="0026044E">
      <w:pPr>
        <w:pStyle w:val="Default"/>
        <w:jc w:val="center"/>
        <w:rPr>
          <w:bCs/>
          <w:color w:val="auto"/>
          <w:sz w:val="18"/>
          <w:szCs w:val="18"/>
        </w:rPr>
      </w:pPr>
      <w:r w:rsidRPr="00D272D7">
        <w:rPr>
          <w:b/>
          <w:color w:val="auto"/>
          <w:sz w:val="18"/>
          <w:szCs w:val="18"/>
        </w:rPr>
        <w:t>Fuente:</w:t>
      </w:r>
      <w:r w:rsidRPr="00D272D7">
        <w:rPr>
          <w:bCs/>
          <w:color w:val="auto"/>
          <w:sz w:val="18"/>
          <w:szCs w:val="18"/>
        </w:rPr>
        <w:t xml:space="preserve"> Resultados FURAG 2018 y 2019 Departamento Administrativo de la Función Pública</w:t>
      </w:r>
    </w:p>
    <w:p w14:paraId="3ECCE2D4" w14:textId="77777777" w:rsidR="00D272D7" w:rsidRPr="00D272D7" w:rsidRDefault="00D272D7" w:rsidP="00D272D7">
      <w:pPr>
        <w:pStyle w:val="Default"/>
        <w:jc w:val="both"/>
        <w:rPr>
          <w:bCs/>
          <w:color w:val="auto"/>
        </w:rPr>
      </w:pPr>
    </w:p>
    <w:p w14:paraId="142B8580" w14:textId="5526B170" w:rsidR="00D272D7" w:rsidRPr="00D272D7" w:rsidRDefault="00D272D7" w:rsidP="00D272D7">
      <w:pPr>
        <w:pStyle w:val="Default"/>
        <w:jc w:val="both"/>
        <w:rPr>
          <w:bCs/>
          <w:color w:val="auto"/>
          <w:sz w:val="22"/>
          <w:szCs w:val="22"/>
        </w:rPr>
      </w:pPr>
      <w:r w:rsidRPr="00D272D7">
        <w:rPr>
          <w:color w:val="auto"/>
          <w:sz w:val="22"/>
          <w:szCs w:val="22"/>
        </w:rPr>
        <w:t>Realizando la comparación de los resultados obtenidos en los índices de las líneas de defensa del MECI en las vigencias de 2018 y 2019, se observa que la tercera línea de defensa mejoró notablemente pasando de 72, 1 a 90,4.</w:t>
      </w:r>
    </w:p>
    <w:p w14:paraId="620E0390" w14:textId="4EAB8B98" w:rsidR="00D272D7" w:rsidRPr="00D272D7" w:rsidRDefault="00D272D7" w:rsidP="00C61B3F">
      <w:pPr>
        <w:pStyle w:val="Default"/>
        <w:jc w:val="both"/>
        <w:rPr>
          <w:bCs/>
          <w:color w:val="auto"/>
          <w:sz w:val="22"/>
          <w:szCs w:val="22"/>
        </w:rPr>
      </w:pPr>
    </w:p>
    <w:p w14:paraId="3F491102" w14:textId="0498E115" w:rsidR="00C61B3F" w:rsidRPr="00D272D7" w:rsidRDefault="00C61B3F" w:rsidP="00C61B3F">
      <w:pPr>
        <w:pStyle w:val="Default"/>
        <w:jc w:val="both"/>
        <w:rPr>
          <w:bCs/>
          <w:color w:val="auto"/>
          <w:sz w:val="22"/>
          <w:szCs w:val="22"/>
        </w:rPr>
      </w:pPr>
      <w:r w:rsidRPr="00D272D7">
        <w:rPr>
          <w:bCs/>
          <w:color w:val="auto"/>
          <w:sz w:val="22"/>
          <w:szCs w:val="22"/>
        </w:rPr>
        <w:t xml:space="preserve">Realizando la comparación de los resultados del Índice de Desempeño Institucional obtenido de la Secretaría Distrital de Integración Social para las vigencias 2018 y 2019 </w:t>
      </w:r>
      <w:r w:rsidR="00215D55" w:rsidRPr="00D272D7">
        <w:rPr>
          <w:bCs/>
          <w:color w:val="auto"/>
          <w:sz w:val="22"/>
          <w:szCs w:val="22"/>
        </w:rPr>
        <w:t xml:space="preserve">se evidencia </w:t>
      </w:r>
      <w:r w:rsidRPr="00D272D7">
        <w:rPr>
          <w:bCs/>
          <w:color w:val="auto"/>
          <w:sz w:val="22"/>
          <w:szCs w:val="22"/>
        </w:rPr>
        <w:t>una importante mejora pasando de 80.5 a 94.8, manteniéndose para las dos vigencias en el quinto quintil.</w:t>
      </w:r>
    </w:p>
    <w:p w14:paraId="711E458D" w14:textId="77777777" w:rsidR="00C61B3F" w:rsidRPr="00D272D7" w:rsidRDefault="00C61B3F" w:rsidP="00C61B3F">
      <w:pPr>
        <w:pStyle w:val="Default"/>
        <w:jc w:val="both"/>
        <w:rPr>
          <w:bCs/>
          <w:color w:val="auto"/>
          <w:sz w:val="22"/>
          <w:szCs w:val="22"/>
        </w:rPr>
      </w:pPr>
    </w:p>
    <w:p w14:paraId="31EBE2E9" w14:textId="5DA22A65" w:rsidR="00345B34" w:rsidRPr="00D272D7" w:rsidRDefault="00C61B3F" w:rsidP="00345B34">
      <w:pPr>
        <w:pStyle w:val="Default"/>
        <w:jc w:val="both"/>
        <w:rPr>
          <w:color w:val="auto"/>
          <w:sz w:val="22"/>
          <w:szCs w:val="22"/>
        </w:rPr>
      </w:pPr>
      <w:r w:rsidRPr="00D272D7">
        <w:rPr>
          <w:bCs/>
          <w:color w:val="auto"/>
          <w:sz w:val="22"/>
          <w:szCs w:val="22"/>
        </w:rPr>
        <w:t>Dados los resultados del Índice de Desempeño de la vigencia 2018, La Secretaría obtuvo el segundo lugar dentro de las entidades más grandes del Distrito, siendo galardonada con el Premio Distrital a la Gestión.</w:t>
      </w:r>
    </w:p>
    <w:p w14:paraId="57ACA635" w14:textId="58FB2BFC" w:rsidR="00F87D6B" w:rsidRPr="00215D55" w:rsidRDefault="00F87D6B">
      <w:pPr>
        <w:spacing w:after="0" w:line="240" w:lineRule="auto"/>
        <w:rPr>
          <w:rFonts w:ascii="Arial" w:hAnsi="Arial" w:cs="Arial"/>
          <w:lang w:eastAsia="es-MX"/>
        </w:rPr>
      </w:pPr>
    </w:p>
    <w:p w14:paraId="420B460C" w14:textId="0393FC74" w:rsidR="009F16CA" w:rsidRPr="00AF62D7" w:rsidRDefault="009F16CA" w:rsidP="009F16CA">
      <w:pPr>
        <w:pStyle w:val="Sinespaciado"/>
        <w:numPr>
          <w:ilvl w:val="1"/>
          <w:numId w:val="14"/>
        </w:numPr>
        <w:jc w:val="both"/>
        <w:rPr>
          <w:rFonts w:ascii="Arial" w:hAnsi="Arial" w:cs="Arial"/>
        </w:rPr>
      </w:pPr>
      <w:r w:rsidRPr="00AF62D7">
        <w:rPr>
          <w:rFonts w:ascii="Arial" w:hAnsi="Arial" w:cs="Arial"/>
          <w:b/>
        </w:rPr>
        <w:t>Objetivo</w:t>
      </w:r>
      <w:r w:rsidR="0031294A" w:rsidRPr="00AF62D7">
        <w:rPr>
          <w:rFonts w:ascii="Arial" w:hAnsi="Arial" w:cs="Arial"/>
          <w:b/>
        </w:rPr>
        <w:t xml:space="preserve"> de</w:t>
      </w:r>
      <w:r w:rsidR="00B52B55">
        <w:rPr>
          <w:rFonts w:ascii="Arial" w:hAnsi="Arial" w:cs="Arial"/>
          <w:b/>
        </w:rPr>
        <w:t>l</w:t>
      </w:r>
      <w:r w:rsidR="0031294A" w:rsidRPr="00AF62D7">
        <w:rPr>
          <w:rFonts w:ascii="Arial" w:hAnsi="Arial" w:cs="Arial"/>
          <w:b/>
        </w:rPr>
        <w:t xml:space="preserve"> </w:t>
      </w:r>
      <w:r w:rsidR="00A36758">
        <w:rPr>
          <w:rFonts w:ascii="Arial" w:hAnsi="Arial" w:cs="Arial"/>
          <w:b/>
        </w:rPr>
        <w:t>p</w:t>
      </w:r>
      <w:r w:rsidR="000F6007" w:rsidRPr="00AF62D7">
        <w:rPr>
          <w:rFonts w:ascii="Arial" w:hAnsi="Arial" w:cs="Arial"/>
          <w:b/>
        </w:rPr>
        <w:t xml:space="preserve">rograma de </w:t>
      </w:r>
      <w:r w:rsidR="00637258">
        <w:rPr>
          <w:rFonts w:ascii="Arial" w:hAnsi="Arial" w:cs="Arial"/>
          <w:b/>
        </w:rPr>
        <w:t>i</w:t>
      </w:r>
      <w:r w:rsidR="000F6007" w:rsidRPr="00AF62D7">
        <w:rPr>
          <w:rFonts w:ascii="Arial" w:hAnsi="Arial" w:cs="Arial"/>
          <w:b/>
        </w:rPr>
        <w:t xml:space="preserve">mplementación y </w:t>
      </w:r>
      <w:r w:rsidR="00637258">
        <w:rPr>
          <w:rFonts w:ascii="Arial" w:hAnsi="Arial" w:cs="Arial"/>
          <w:b/>
        </w:rPr>
        <w:t>s</w:t>
      </w:r>
      <w:r w:rsidR="000F6007" w:rsidRPr="00AF62D7">
        <w:rPr>
          <w:rFonts w:ascii="Arial" w:hAnsi="Arial" w:cs="Arial"/>
          <w:b/>
        </w:rPr>
        <w:t xml:space="preserve">ostenibilidad del </w:t>
      </w:r>
      <w:r w:rsidR="00852D39" w:rsidRPr="00AF62D7">
        <w:rPr>
          <w:rFonts w:ascii="Arial" w:hAnsi="Arial" w:cs="Arial"/>
          <w:b/>
        </w:rPr>
        <w:t>S</w:t>
      </w:r>
      <w:r w:rsidR="000F6007" w:rsidRPr="00AF62D7">
        <w:rPr>
          <w:rFonts w:ascii="Arial" w:hAnsi="Arial" w:cs="Arial"/>
          <w:b/>
        </w:rPr>
        <w:t xml:space="preserve">istema de </w:t>
      </w:r>
      <w:r w:rsidR="00260DFE" w:rsidRPr="00AF62D7">
        <w:rPr>
          <w:rFonts w:ascii="Arial" w:hAnsi="Arial" w:cs="Arial"/>
          <w:b/>
        </w:rPr>
        <w:t>G</w:t>
      </w:r>
      <w:r w:rsidR="000F6007" w:rsidRPr="00AF62D7">
        <w:rPr>
          <w:rFonts w:ascii="Arial" w:hAnsi="Arial" w:cs="Arial"/>
          <w:b/>
        </w:rPr>
        <w:t>estión</w:t>
      </w:r>
    </w:p>
    <w:p w14:paraId="40107795" w14:textId="237771E2" w:rsidR="009F16CA" w:rsidRPr="00D55341" w:rsidRDefault="009F16CA" w:rsidP="00D55341">
      <w:pPr>
        <w:pStyle w:val="Default"/>
        <w:jc w:val="both"/>
        <w:rPr>
          <w:rFonts w:asciiTheme="minorHAnsi" w:hAnsiTheme="minorHAnsi" w:cstheme="minorHAnsi"/>
          <w:bCs/>
          <w:color w:val="auto"/>
        </w:rPr>
      </w:pPr>
    </w:p>
    <w:p w14:paraId="640D0353" w14:textId="4FE0DF14" w:rsidR="00350E87" w:rsidRPr="00AF62D7" w:rsidRDefault="009F16CA" w:rsidP="00D55341">
      <w:pPr>
        <w:pStyle w:val="Default"/>
        <w:jc w:val="both"/>
        <w:rPr>
          <w:bCs/>
          <w:color w:val="auto"/>
          <w:sz w:val="22"/>
          <w:szCs w:val="22"/>
        </w:rPr>
      </w:pPr>
      <w:r w:rsidRPr="00AF62D7">
        <w:rPr>
          <w:bCs/>
          <w:color w:val="auto"/>
          <w:sz w:val="22"/>
          <w:szCs w:val="22"/>
        </w:rPr>
        <w:t xml:space="preserve">El </w:t>
      </w:r>
      <w:r w:rsidR="00637258">
        <w:rPr>
          <w:bCs/>
          <w:color w:val="auto"/>
          <w:sz w:val="22"/>
          <w:szCs w:val="22"/>
        </w:rPr>
        <w:t>P</w:t>
      </w:r>
      <w:r w:rsidRPr="00AF62D7">
        <w:rPr>
          <w:bCs/>
          <w:color w:val="auto"/>
          <w:sz w:val="22"/>
          <w:szCs w:val="22"/>
        </w:rPr>
        <w:t>rograma</w:t>
      </w:r>
      <w:r w:rsidR="00D55341" w:rsidRPr="00AF62D7">
        <w:rPr>
          <w:bCs/>
          <w:color w:val="auto"/>
          <w:sz w:val="22"/>
          <w:szCs w:val="22"/>
        </w:rPr>
        <w:t xml:space="preserve"> </w:t>
      </w:r>
      <w:r w:rsidR="003E3EB0" w:rsidRPr="00AF62D7">
        <w:rPr>
          <w:bCs/>
          <w:color w:val="auto"/>
          <w:sz w:val="22"/>
          <w:szCs w:val="22"/>
        </w:rPr>
        <w:t>de</w:t>
      </w:r>
      <w:r w:rsidR="00D55341" w:rsidRPr="00AF62D7">
        <w:rPr>
          <w:bCs/>
          <w:color w:val="auto"/>
          <w:sz w:val="22"/>
          <w:szCs w:val="22"/>
        </w:rPr>
        <w:t xml:space="preserve"> implementación y sostenibilidad del </w:t>
      </w:r>
      <w:r w:rsidR="00637258">
        <w:rPr>
          <w:bCs/>
          <w:color w:val="auto"/>
          <w:sz w:val="22"/>
          <w:szCs w:val="22"/>
        </w:rPr>
        <w:t>S</w:t>
      </w:r>
      <w:r w:rsidR="00D55341" w:rsidRPr="00AF62D7">
        <w:rPr>
          <w:bCs/>
          <w:color w:val="auto"/>
          <w:sz w:val="22"/>
          <w:szCs w:val="22"/>
        </w:rPr>
        <w:t xml:space="preserve">istema de </w:t>
      </w:r>
      <w:r w:rsidR="00637258">
        <w:rPr>
          <w:bCs/>
          <w:color w:val="auto"/>
          <w:sz w:val="22"/>
          <w:szCs w:val="22"/>
        </w:rPr>
        <w:t>G</w:t>
      </w:r>
      <w:r w:rsidR="00680D59" w:rsidRPr="00AF62D7">
        <w:rPr>
          <w:bCs/>
          <w:color w:val="auto"/>
          <w:sz w:val="22"/>
          <w:szCs w:val="22"/>
        </w:rPr>
        <w:t>estión</w:t>
      </w:r>
      <w:r w:rsidR="00D55341" w:rsidRPr="00AF62D7">
        <w:rPr>
          <w:bCs/>
          <w:color w:val="auto"/>
          <w:sz w:val="22"/>
          <w:szCs w:val="22"/>
        </w:rPr>
        <w:t xml:space="preserve"> </w:t>
      </w:r>
      <w:r w:rsidR="00542D71" w:rsidRPr="00AF62D7">
        <w:rPr>
          <w:bCs/>
          <w:color w:val="auto"/>
          <w:sz w:val="22"/>
          <w:szCs w:val="22"/>
        </w:rPr>
        <w:t>contribuye al</w:t>
      </w:r>
      <w:r w:rsidR="00454763" w:rsidRPr="00AF62D7">
        <w:rPr>
          <w:bCs/>
          <w:color w:val="auto"/>
          <w:sz w:val="22"/>
          <w:szCs w:val="22"/>
        </w:rPr>
        <w:t xml:space="preserve"> </w:t>
      </w:r>
      <w:r w:rsidR="00571EB2" w:rsidRPr="00AF62D7">
        <w:rPr>
          <w:bCs/>
          <w:color w:val="auto"/>
          <w:sz w:val="22"/>
          <w:szCs w:val="22"/>
        </w:rPr>
        <w:t xml:space="preserve">fortalecimiento de </w:t>
      </w:r>
      <w:r w:rsidR="00350E87" w:rsidRPr="00AF62D7">
        <w:rPr>
          <w:bCs/>
          <w:color w:val="auto"/>
          <w:sz w:val="22"/>
          <w:szCs w:val="22"/>
        </w:rPr>
        <w:t xml:space="preserve">la capacidad </w:t>
      </w:r>
      <w:r w:rsidR="00162262" w:rsidRPr="00AF62D7">
        <w:rPr>
          <w:bCs/>
          <w:color w:val="auto"/>
          <w:sz w:val="22"/>
          <w:szCs w:val="22"/>
        </w:rPr>
        <w:t>i</w:t>
      </w:r>
      <w:r w:rsidR="00350E87" w:rsidRPr="00AF62D7">
        <w:rPr>
          <w:bCs/>
          <w:color w:val="auto"/>
          <w:sz w:val="22"/>
          <w:szCs w:val="22"/>
        </w:rPr>
        <w:t>nstitucional</w:t>
      </w:r>
      <w:r w:rsidR="00542D71" w:rsidRPr="00AF62D7">
        <w:rPr>
          <w:bCs/>
          <w:color w:val="auto"/>
          <w:sz w:val="22"/>
          <w:szCs w:val="22"/>
        </w:rPr>
        <w:t xml:space="preserve">, a través de lineamientos </w:t>
      </w:r>
      <w:r w:rsidR="00B96D42">
        <w:rPr>
          <w:bCs/>
          <w:color w:val="auto"/>
          <w:sz w:val="22"/>
          <w:szCs w:val="22"/>
        </w:rPr>
        <w:t xml:space="preserve">y acciones </w:t>
      </w:r>
      <w:r w:rsidR="006A5070" w:rsidRPr="00AF62D7">
        <w:rPr>
          <w:bCs/>
          <w:color w:val="auto"/>
          <w:sz w:val="22"/>
          <w:szCs w:val="22"/>
        </w:rPr>
        <w:t>que</w:t>
      </w:r>
      <w:r w:rsidR="00542D71" w:rsidRPr="00AF62D7">
        <w:rPr>
          <w:bCs/>
          <w:color w:val="auto"/>
          <w:sz w:val="22"/>
          <w:szCs w:val="22"/>
        </w:rPr>
        <w:t xml:space="preserve"> estandariza</w:t>
      </w:r>
      <w:r w:rsidR="006A5070" w:rsidRPr="00AF62D7">
        <w:rPr>
          <w:bCs/>
          <w:color w:val="auto"/>
          <w:sz w:val="22"/>
          <w:szCs w:val="22"/>
        </w:rPr>
        <w:t>n</w:t>
      </w:r>
      <w:r w:rsidR="00542D71" w:rsidRPr="00AF62D7">
        <w:rPr>
          <w:bCs/>
          <w:color w:val="auto"/>
          <w:sz w:val="22"/>
          <w:szCs w:val="22"/>
        </w:rPr>
        <w:t xml:space="preserve"> la operación de las dependencias y procesos, generando información oportuna y de calidad para la </w:t>
      </w:r>
      <w:r w:rsidR="00350E87" w:rsidRPr="00AF62D7">
        <w:rPr>
          <w:bCs/>
          <w:color w:val="auto"/>
          <w:sz w:val="22"/>
          <w:szCs w:val="22"/>
        </w:rPr>
        <w:t>toma acertada de decisiones</w:t>
      </w:r>
      <w:r w:rsidR="00162262" w:rsidRPr="00AF62D7">
        <w:rPr>
          <w:bCs/>
          <w:color w:val="auto"/>
          <w:sz w:val="22"/>
          <w:szCs w:val="22"/>
        </w:rPr>
        <w:t xml:space="preserve">, </w:t>
      </w:r>
      <w:r w:rsidR="00637258">
        <w:rPr>
          <w:bCs/>
          <w:color w:val="auto"/>
          <w:sz w:val="22"/>
          <w:szCs w:val="22"/>
        </w:rPr>
        <w:t>dirigidas a</w:t>
      </w:r>
      <w:r w:rsidR="00162262" w:rsidRPr="00AF62D7">
        <w:rPr>
          <w:bCs/>
          <w:color w:val="auto"/>
          <w:sz w:val="22"/>
          <w:szCs w:val="22"/>
        </w:rPr>
        <w:t xml:space="preserve">l </w:t>
      </w:r>
      <w:r w:rsidR="000A1F31" w:rsidRPr="00AF62D7">
        <w:rPr>
          <w:bCs/>
          <w:color w:val="auto"/>
          <w:sz w:val="22"/>
          <w:szCs w:val="22"/>
        </w:rPr>
        <w:t xml:space="preserve">cumplimiento de la misionalidad y </w:t>
      </w:r>
      <w:r w:rsidR="00162262" w:rsidRPr="00AF62D7">
        <w:rPr>
          <w:bCs/>
          <w:color w:val="auto"/>
          <w:sz w:val="22"/>
          <w:szCs w:val="22"/>
        </w:rPr>
        <w:t xml:space="preserve">los </w:t>
      </w:r>
      <w:r w:rsidR="000A1F31" w:rsidRPr="00AF62D7">
        <w:rPr>
          <w:bCs/>
          <w:color w:val="auto"/>
          <w:sz w:val="22"/>
          <w:szCs w:val="22"/>
        </w:rPr>
        <w:t>objetivos estratégicos de la entidad</w:t>
      </w:r>
      <w:r w:rsidR="00582B6E" w:rsidRPr="00AF62D7">
        <w:rPr>
          <w:bCs/>
          <w:color w:val="auto"/>
          <w:sz w:val="22"/>
          <w:szCs w:val="22"/>
        </w:rPr>
        <w:t>.</w:t>
      </w:r>
    </w:p>
    <w:p w14:paraId="1DBA43C6" w14:textId="0DC6CE03" w:rsidR="009F16CA" w:rsidRPr="00AF62D7" w:rsidRDefault="009F16CA" w:rsidP="00D55341">
      <w:pPr>
        <w:pStyle w:val="Default"/>
        <w:jc w:val="both"/>
        <w:rPr>
          <w:bCs/>
          <w:color w:val="auto"/>
          <w:sz w:val="22"/>
          <w:szCs w:val="22"/>
        </w:rPr>
      </w:pPr>
    </w:p>
    <w:p w14:paraId="2C3CC1D6" w14:textId="4745E42C" w:rsidR="00C63897" w:rsidRPr="00AF62D7" w:rsidRDefault="00906385" w:rsidP="00C63897">
      <w:pPr>
        <w:pStyle w:val="Default"/>
        <w:jc w:val="both"/>
        <w:rPr>
          <w:bCs/>
          <w:color w:val="auto"/>
          <w:sz w:val="22"/>
          <w:szCs w:val="22"/>
        </w:rPr>
      </w:pPr>
      <w:r w:rsidRPr="00AF62D7">
        <w:rPr>
          <w:bCs/>
          <w:color w:val="auto"/>
          <w:sz w:val="22"/>
          <w:szCs w:val="22"/>
        </w:rPr>
        <w:t xml:space="preserve">De acuerdo con </w:t>
      </w:r>
      <w:r w:rsidR="005D327A" w:rsidRPr="00AF62D7">
        <w:rPr>
          <w:bCs/>
          <w:color w:val="auto"/>
          <w:sz w:val="22"/>
          <w:szCs w:val="22"/>
        </w:rPr>
        <w:t>l</w:t>
      </w:r>
      <w:r w:rsidR="006F4062" w:rsidRPr="00AF62D7">
        <w:rPr>
          <w:bCs/>
          <w:color w:val="auto"/>
          <w:sz w:val="22"/>
          <w:szCs w:val="22"/>
        </w:rPr>
        <w:t>a</w:t>
      </w:r>
      <w:r w:rsidR="005D327A" w:rsidRPr="00AF62D7">
        <w:rPr>
          <w:bCs/>
          <w:color w:val="auto"/>
          <w:sz w:val="22"/>
          <w:szCs w:val="22"/>
        </w:rPr>
        <w:t xml:space="preserve"> </w:t>
      </w:r>
      <w:r w:rsidR="00637258">
        <w:rPr>
          <w:bCs/>
          <w:color w:val="auto"/>
          <w:sz w:val="22"/>
          <w:szCs w:val="22"/>
        </w:rPr>
        <w:t>formulación</w:t>
      </w:r>
      <w:r w:rsidR="00637258" w:rsidRPr="00AF62D7">
        <w:rPr>
          <w:bCs/>
          <w:color w:val="auto"/>
          <w:sz w:val="22"/>
          <w:szCs w:val="22"/>
        </w:rPr>
        <w:t xml:space="preserve"> </w:t>
      </w:r>
      <w:r w:rsidR="005D327A" w:rsidRPr="00AF62D7">
        <w:rPr>
          <w:bCs/>
          <w:color w:val="auto"/>
          <w:sz w:val="22"/>
          <w:szCs w:val="22"/>
        </w:rPr>
        <w:t xml:space="preserve">del proyecto de inversión </w:t>
      </w:r>
      <w:r w:rsidR="00AC4601">
        <w:rPr>
          <w:bCs/>
          <w:color w:val="auto"/>
          <w:sz w:val="22"/>
          <w:szCs w:val="22"/>
        </w:rPr>
        <w:t xml:space="preserve">No 7741 </w:t>
      </w:r>
      <w:r w:rsidR="00F2018D" w:rsidRPr="00AF62D7">
        <w:rPr>
          <w:bCs/>
          <w:sz w:val="22"/>
          <w:szCs w:val="22"/>
          <w:lang w:val="es-CO"/>
        </w:rPr>
        <w:t xml:space="preserve">Fortalecimiento de la gestión de la información y el conocimiento con enfoque participativo y territorial de la </w:t>
      </w:r>
      <w:r w:rsidR="00D27D4C" w:rsidRPr="00AF62D7">
        <w:rPr>
          <w:bCs/>
          <w:sz w:val="22"/>
          <w:szCs w:val="22"/>
          <w:lang w:val="es-CO"/>
        </w:rPr>
        <w:lastRenderedPageBreak/>
        <w:t>S</w:t>
      </w:r>
      <w:r w:rsidR="00F2018D" w:rsidRPr="00AF62D7">
        <w:rPr>
          <w:bCs/>
          <w:sz w:val="22"/>
          <w:szCs w:val="22"/>
          <w:lang w:val="es-CO"/>
        </w:rPr>
        <w:t xml:space="preserve">ecretaria </w:t>
      </w:r>
      <w:r w:rsidR="00D27D4C" w:rsidRPr="00AF62D7">
        <w:rPr>
          <w:bCs/>
          <w:sz w:val="22"/>
          <w:szCs w:val="22"/>
          <w:lang w:val="es-CO"/>
        </w:rPr>
        <w:t>D</w:t>
      </w:r>
      <w:r w:rsidR="00F2018D" w:rsidRPr="00AF62D7">
        <w:rPr>
          <w:bCs/>
          <w:sz w:val="22"/>
          <w:szCs w:val="22"/>
          <w:lang w:val="es-CO"/>
        </w:rPr>
        <w:t xml:space="preserve">istrital de </w:t>
      </w:r>
      <w:r w:rsidR="00D27D4C" w:rsidRPr="00AF62D7">
        <w:rPr>
          <w:bCs/>
          <w:sz w:val="22"/>
          <w:szCs w:val="22"/>
          <w:lang w:val="es-CO"/>
        </w:rPr>
        <w:t>I</w:t>
      </w:r>
      <w:r w:rsidR="00F2018D" w:rsidRPr="00AF62D7">
        <w:rPr>
          <w:bCs/>
          <w:sz w:val="22"/>
          <w:szCs w:val="22"/>
          <w:lang w:val="es-CO"/>
        </w:rPr>
        <w:t xml:space="preserve">ntegración </w:t>
      </w:r>
      <w:r w:rsidR="00D27D4C" w:rsidRPr="00AF62D7">
        <w:rPr>
          <w:bCs/>
          <w:sz w:val="22"/>
          <w:szCs w:val="22"/>
          <w:lang w:val="es-CO"/>
        </w:rPr>
        <w:t>S</w:t>
      </w:r>
      <w:r w:rsidR="00F2018D" w:rsidRPr="00AF62D7">
        <w:rPr>
          <w:bCs/>
          <w:sz w:val="22"/>
          <w:szCs w:val="22"/>
          <w:lang w:val="es-CO"/>
        </w:rPr>
        <w:t xml:space="preserve">ocial en Bogotá </w:t>
      </w:r>
      <w:r w:rsidR="00D27D4C" w:rsidRPr="00AF62D7">
        <w:rPr>
          <w:bCs/>
          <w:sz w:val="22"/>
          <w:szCs w:val="22"/>
          <w:lang w:val="es-CO"/>
        </w:rPr>
        <w:t xml:space="preserve">en el marco </w:t>
      </w:r>
      <w:r w:rsidR="002365E1" w:rsidRPr="00AF62D7">
        <w:rPr>
          <w:bCs/>
          <w:sz w:val="22"/>
          <w:szCs w:val="22"/>
          <w:lang w:val="es-CO"/>
        </w:rPr>
        <w:t xml:space="preserve">del Plan Distrital de Desarrollo 2020 – 2024: Un Nuevo Contrato Social y Ambiental para la Bogotá del Siglo XXI </w:t>
      </w:r>
      <w:r w:rsidR="0086263E" w:rsidRPr="00AF62D7">
        <w:rPr>
          <w:bCs/>
          <w:sz w:val="22"/>
          <w:szCs w:val="22"/>
          <w:lang w:val="es-CO"/>
        </w:rPr>
        <w:t xml:space="preserve">y </w:t>
      </w:r>
      <w:r w:rsidR="00F2018D" w:rsidRPr="00AF62D7">
        <w:rPr>
          <w:bCs/>
          <w:sz w:val="22"/>
          <w:szCs w:val="22"/>
          <w:lang w:val="es-CO"/>
        </w:rPr>
        <w:t>a cargo de</w:t>
      </w:r>
      <w:r w:rsidR="00637258">
        <w:rPr>
          <w:bCs/>
          <w:sz w:val="22"/>
          <w:szCs w:val="22"/>
          <w:lang w:val="es-CO"/>
        </w:rPr>
        <w:t xml:space="preserve"> </w:t>
      </w:r>
      <w:r w:rsidR="00F2018D" w:rsidRPr="00AF62D7">
        <w:rPr>
          <w:bCs/>
          <w:sz w:val="22"/>
          <w:szCs w:val="22"/>
          <w:lang w:val="es-CO"/>
        </w:rPr>
        <w:t>la Dirección de Anális</w:t>
      </w:r>
      <w:r w:rsidR="0086263E" w:rsidRPr="00AF62D7">
        <w:rPr>
          <w:bCs/>
          <w:sz w:val="22"/>
          <w:szCs w:val="22"/>
          <w:lang w:val="es-CO"/>
        </w:rPr>
        <w:t>is</w:t>
      </w:r>
      <w:r w:rsidR="003C2012" w:rsidRPr="00AF62D7">
        <w:rPr>
          <w:bCs/>
          <w:sz w:val="22"/>
          <w:szCs w:val="22"/>
          <w:lang w:val="es-CO"/>
        </w:rPr>
        <w:t xml:space="preserve"> y Diseño Estratégico</w:t>
      </w:r>
      <w:r w:rsidR="004C5A06" w:rsidRPr="00AF62D7">
        <w:rPr>
          <w:bCs/>
          <w:sz w:val="22"/>
          <w:szCs w:val="22"/>
          <w:lang w:val="es-CO"/>
        </w:rPr>
        <w:t xml:space="preserve">, el </w:t>
      </w:r>
      <w:r w:rsidR="00637258">
        <w:rPr>
          <w:bCs/>
          <w:color w:val="auto"/>
          <w:sz w:val="22"/>
          <w:szCs w:val="22"/>
        </w:rPr>
        <w:t>P</w:t>
      </w:r>
      <w:r w:rsidR="004C5A06" w:rsidRPr="00AF62D7">
        <w:rPr>
          <w:bCs/>
          <w:color w:val="auto"/>
          <w:sz w:val="22"/>
          <w:szCs w:val="22"/>
        </w:rPr>
        <w:t xml:space="preserve">rograma de implementación y sostenibilidad del </w:t>
      </w:r>
      <w:r w:rsidR="00637258">
        <w:rPr>
          <w:bCs/>
          <w:color w:val="auto"/>
          <w:sz w:val="22"/>
          <w:szCs w:val="22"/>
        </w:rPr>
        <w:t>S</w:t>
      </w:r>
      <w:r w:rsidR="004C5A06" w:rsidRPr="00AF62D7">
        <w:rPr>
          <w:bCs/>
          <w:color w:val="auto"/>
          <w:sz w:val="22"/>
          <w:szCs w:val="22"/>
        </w:rPr>
        <w:t xml:space="preserve">istema de </w:t>
      </w:r>
      <w:r w:rsidR="00637258">
        <w:rPr>
          <w:bCs/>
          <w:color w:val="auto"/>
          <w:sz w:val="22"/>
          <w:szCs w:val="22"/>
        </w:rPr>
        <w:t>G</w:t>
      </w:r>
      <w:r w:rsidR="004C5A06" w:rsidRPr="00AF62D7">
        <w:rPr>
          <w:bCs/>
          <w:color w:val="auto"/>
          <w:sz w:val="22"/>
          <w:szCs w:val="22"/>
        </w:rPr>
        <w:t xml:space="preserve">estión, tendrá como </w:t>
      </w:r>
      <w:r w:rsidR="00E53EC5" w:rsidRPr="00AF62D7">
        <w:rPr>
          <w:bCs/>
          <w:color w:val="auto"/>
          <w:sz w:val="22"/>
          <w:szCs w:val="22"/>
        </w:rPr>
        <w:t>su única m</w:t>
      </w:r>
      <w:r w:rsidR="00D6456E" w:rsidRPr="00AF62D7">
        <w:rPr>
          <w:bCs/>
          <w:color w:val="auto"/>
          <w:sz w:val="22"/>
          <w:szCs w:val="22"/>
        </w:rPr>
        <w:t>eta</w:t>
      </w:r>
      <w:r w:rsidR="00F600EA" w:rsidRPr="00AF62D7">
        <w:rPr>
          <w:bCs/>
          <w:color w:val="auto"/>
          <w:sz w:val="22"/>
          <w:szCs w:val="22"/>
        </w:rPr>
        <w:t xml:space="preserve"> para el cuatrienio (</w:t>
      </w:r>
      <w:r w:rsidR="00731813" w:rsidRPr="00AF62D7">
        <w:rPr>
          <w:bCs/>
          <w:color w:val="auto"/>
          <w:sz w:val="22"/>
          <w:szCs w:val="22"/>
        </w:rPr>
        <w:t>julio/2020 a mayo/20</w:t>
      </w:r>
      <w:r w:rsidR="006F4062" w:rsidRPr="00AF62D7">
        <w:rPr>
          <w:bCs/>
          <w:color w:val="auto"/>
          <w:sz w:val="22"/>
          <w:szCs w:val="22"/>
        </w:rPr>
        <w:t>24)</w:t>
      </w:r>
      <w:r w:rsidR="00D6456E" w:rsidRPr="00AF62D7">
        <w:rPr>
          <w:bCs/>
          <w:color w:val="auto"/>
          <w:sz w:val="22"/>
          <w:szCs w:val="22"/>
        </w:rPr>
        <w:t xml:space="preserve">: Cumplir el 100% del programa </w:t>
      </w:r>
      <w:r w:rsidR="006F4062" w:rsidRPr="00AF62D7">
        <w:rPr>
          <w:bCs/>
          <w:color w:val="auto"/>
          <w:sz w:val="22"/>
          <w:szCs w:val="22"/>
        </w:rPr>
        <w:t xml:space="preserve">a través de </w:t>
      </w:r>
      <w:r w:rsidR="00637258">
        <w:rPr>
          <w:bCs/>
          <w:color w:val="auto"/>
          <w:sz w:val="22"/>
          <w:szCs w:val="22"/>
        </w:rPr>
        <w:t>la realización de</w:t>
      </w:r>
      <w:r w:rsidR="00637258" w:rsidRPr="00AF62D7">
        <w:rPr>
          <w:bCs/>
          <w:color w:val="auto"/>
          <w:sz w:val="22"/>
          <w:szCs w:val="22"/>
        </w:rPr>
        <w:t xml:space="preserve"> </w:t>
      </w:r>
      <w:r w:rsidR="006F4062" w:rsidRPr="00AF62D7">
        <w:rPr>
          <w:bCs/>
          <w:color w:val="auto"/>
          <w:sz w:val="22"/>
          <w:szCs w:val="22"/>
        </w:rPr>
        <w:t xml:space="preserve">actividades </w:t>
      </w:r>
      <w:r w:rsidR="00BC203B" w:rsidRPr="00AF62D7">
        <w:rPr>
          <w:bCs/>
          <w:color w:val="auto"/>
          <w:sz w:val="22"/>
          <w:szCs w:val="22"/>
        </w:rPr>
        <w:t xml:space="preserve">orientadas a la </w:t>
      </w:r>
      <w:r w:rsidR="00BC203B" w:rsidRPr="00AF62D7">
        <w:rPr>
          <w:bCs/>
          <w:sz w:val="22"/>
          <w:szCs w:val="22"/>
          <w:lang w:val="es-CO"/>
        </w:rPr>
        <w:t>asistencia</w:t>
      </w:r>
      <w:r w:rsidR="00C63897" w:rsidRPr="00AF62D7">
        <w:rPr>
          <w:bCs/>
          <w:sz w:val="22"/>
          <w:szCs w:val="22"/>
          <w:lang w:val="es-CO"/>
        </w:rPr>
        <w:t>, asesor</w:t>
      </w:r>
      <w:r w:rsidR="00BC203B" w:rsidRPr="00AF62D7">
        <w:rPr>
          <w:bCs/>
          <w:sz w:val="22"/>
          <w:szCs w:val="22"/>
          <w:lang w:val="es-CO"/>
        </w:rPr>
        <w:t>ía</w:t>
      </w:r>
      <w:r w:rsidR="00C63897" w:rsidRPr="00AF62D7">
        <w:rPr>
          <w:bCs/>
          <w:sz w:val="22"/>
          <w:szCs w:val="22"/>
          <w:lang w:val="es-CO"/>
        </w:rPr>
        <w:t xml:space="preserve"> y acompaña</w:t>
      </w:r>
      <w:r w:rsidR="00BC203B" w:rsidRPr="00AF62D7">
        <w:rPr>
          <w:bCs/>
          <w:sz w:val="22"/>
          <w:szCs w:val="22"/>
          <w:lang w:val="es-CO"/>
        </w:rPr>
        <w:t>miento</w:t>
      </w:r>
      <w:r w:rsidR="00C63897" w:rsidRPr="00AF62D7">
        <w:rPr>
          <w:bCs/>
          <w:sz w:val="22"/>
          <w:szCs w:val="22"/>
          <w:lang w:val="es-CO"/>
        </w:rPr>
        <w:t xml:space="preserve"> técni</w:t>
      </w:r>
      <w:r w:rsidR="00BC203B" w:rsidRPr="00AF62D7">
        <w:rPr>
          <w:bCs/>
          <w:sz w:val="22"/>
          <w:szCs w:val="22"/>
          <w:lang w:val="es-CO"/>
        </w:rPr>
        <w:t>co</w:t>
      </w:r>
      <w:r w:rsidR="00C63897" w:rsidRPr="00AF62D7">
        <w:rPr>
          <w:bCs/>
          <w:sz w:val="22"/>
          <w:szCs w:val="22"/>
          <w:lang w:val="es-CO"/>
        </w:rPr>
        <w:t xml:space="preserve"> a las áreas</w:t>
      </w:r>
      <w:r w:rsidR="00637258">
        <w:rPr>
          <w:bCs/>
          <w:sz w:val="22"/>
          <w:szCs w:val="22"/>
          <w:lang w:val="es-CO"/>
        </w:rPr>
        <w:t>,</w:t>
      </w:r>
      <w:r w:rsidR="00C63897" w:rsidRPr="00AF62D7">
        <w:rPr>
          <w:bCs/>
          <w:sz w:val="22"/>
          <w:szCs w:val="22"/>
          <w:lang w:val="es-CO"/>
        </w:rPr>
        <w:t xml:space="preserve"> en la implementación, mantenimiento y mejora de las políticas de gestión y desempeño y del componente ambiental en el marco del Modelo Integrado de Planeación y Gestión</w:t>
      </w:r>
      <w:r w:rsidR="00BC203B" w:rsidRPr="00AF62D7">
        <w:rPr>
          <w:bCs/>
          <w:sz w:val="22"/>
          <w:szCs w:val="22"/>
          <w:lang w:val="es-CO"/>
        </w:rPr>
        <w:t xml:space="preserve"> -MIPG</w:t>
      </w:r>
      <w:r w:rsidR="00C63897" w:rsidRPr="00AF62D7">
        <w:rPr>
          <w:bCs/>
          <w:sz w:val="22"/>
          <w:szCs w:val="22"/>
          <w:lang w:val="es-CO"/>
        </w:rPr>
        <w:t>.</w:t>
      </w:r>
    </w:p>
    <w:p w14:paraId="0A9034E5" w14:textId="77777777" w:rsidR="009F16CA" w:rsidRPr="00AC4601" w:rsidRDefault="009F16CA" w:rsidP="009F16CA">
      <w:pPr>
        <w:pStyle w:val="Sinespaciado"/>
        <w:jc w:val="both"/>
        <w:rPr>
          <w:rFonts w:ascii="Arial" w:hAnsi="Arial" w:cs="Arial"/>
        </w:rPr>
      </w:pPr>
    </w:p>
    <w:p w14:paraId="458B0CEE" w14:textId="5CB95734" w:rsidR="009F16CA" w:rsidRPr="00AC4601" w:rsidRDefault="009F16CA" w:rsidP="00BA76C7">
      <w:pPr>
        <w:pStyle w:val="Sinespaciado"/>
        <w:numPr>
          <w:ilvl w:val="1"/>
          <w:numId w:val="14"/>
        </w:numPr>
        <w:jc w:val="both"/>
        <w:rPr>
          <w:rFonts w:ascii="Arial" w:hAnsi="Arial" w:cs="Arial"/>
          <w:b/>
        </w:rPr>
      </w:pPr>
      <w:r w:rsidRPr="00AC4601">
        <w:rPr>
          <w:rFonts w:ascii="Arial" w:hAnsi="Arial" w:cs="Arial"/>
          <w:b/>
        </w:rPr>
        <w:t>Alcance</w:t>
      </w:r>
    </w:p>
    <w:p w14:paraId="1FC74B71" w14:textId="4F203B9A" w:rsidR="007E6B6B" w:rsidRPr="00AC4601" w:rsidRDefault="007E6B6B" w:rsidP="007E6B6B">
      <w:pPr>
        <w:pStyle w:val="Sinespaciado"/>
        <w:rPr>
          <w:rFonts w:ascii="Arial" w:hAnsi="Arial" w:cs="Arial"/>
        </w:rPr>
      </w:pPr>
    </w:p>
    <w:p w14:paraId="229B560B" w14:textId="39D9591D" w:rsidR="007E6B6B" w:rsidRPr="00AC4601" w:rsidRDefault="0032663E" w:rsidP="0032663E">
      <w:pPr>
        <w:pStyle w:val="Sinespaciado"/>
        <w:jc w:val="both"/>
        <w:rPr>
          <w:rFonts w:ascii="Arial" w:hAnsi="Arial" w:cs="Arial"/>
        </w:rPr>
      </w:pPr>
      <w:r w:rsidRPr="00AC4601">
        <w:rPr>
          <w:rFonts w:ascii="Arial" w:hAnsi="Arial" w:cs="Arial"/>
        </w:rPr>
        <w:t xml:space="preserve">Las actividades y productos </w:t>
      </w:r>
      <w:r w:rsidR="00F91D5D">
        <w:rPr>
          <w:rFonts w:ascii="Arial" w:hAnsi="Arial" w:cs="Arial"/>
        </w:rPr>
        <w:t xml:space="preserve">contenidos </w:t>
      </w:r>
      <w:r w:rsidRPr="00AC4601">
        <w:rPr>
          <w:rFonts w:ascii="Arial" w:hAnsi="Arial" w:cs="Arial"/>
        </w:rPr>
        <w:t xml:space="preserve">en el plan serán </w:t>
      </w:r>
      <w:r w:rsidR="00F91D5D">
        <w:rPr>
          <w:rFonts w:ascii="Arial" w:hAnsi="Arial" w:cs="Arial"/>
        </w:rPr>
        <w:t xml:space="preserve">los </w:t>
      </w:r>
      <w:r w:rsidR="00F91D5D" w:rsidRPr="00AC4601">
        <w:rPr>
          <w:rFonts w:ascii="Arial" w:hAnsi="Arial" w:cs="Arial"/>
        </w:rPr>
        <w:t xml:space="preserve">definidos </w:t>
      </w:r>
      <w:r w:rsidR="00F91D5D">
        <w:rPr>
          <w:rFonts w:ascii="Arial" w:hAnsi="Arial" w:cs="Arial"/>
        </w:rPr>
        <w:t xml:space="preserve">y </w:t>
      </w:r>
      <w:r w:rsidR="009D3D37">
        <w:rPr>
          <w:rFonts w:ascii="Arial" w:hAnsi="Arial" w:cs="Arial"/>
        </w:rPr>
        <w:t>desarrollados</w:t>
      </w:r>
      <w:r w:rsidR="00F91D5D">
        <w:rPr>
          <w:rFonts w:ascii="Arial" w:hAnsi="Arial" w:cs="Arial"/>
        </w:rPr>
        <w:t xml:space="preserve"> </w:t>
      </w:r>
      <w:r w:rsidRPr="00AC4601">
        <w:rPr>
          <w:rFonts w:ascii="Arial" w:hAnsi="Arial" w:cs="Arial"/>
        </w:rPr>
        <w:t xml:space="preserve">por la Subdirección de Diseño, Evaluación y Sistematización mediante la </w:t>
      </w:r>
      <w:r w:rsidR="00235E20" w:rsidRPr="00AC4601">
        <w:rPr>
          <w:rFonts w:ascii="Arial" w:hAnsi="Arial" w:cs="Arial"/>
        </w:rPr>
        <w:t>asistencia</w:t>
      </w:r>
      <w:r w:rsidR="00235E20">
        <w:rPr>
          <w:rFonts w:ascii="Arial" w:hAnsi="Arial" w:cs="Arial"/>
        </w:rPr>
        <w:t xml:space="preserve">, </w:t>
      </w:r>
      <w:r w:rsidR="00235E20" w:rsidRPr="00AC4601">
        <w:rPr>
          <w:rFonts w:ascii="Arial" w:hAnsi="Arial" w:cs="Arial"/>
        </w:rPr>
        <w:t>acompañamiento</w:t>
      </w:r>
      <w:r w:rsidRPr="00AC4601">
        <w:rPr>
          <w:rFonts w:ascii="Arial" w:hAnsi="Arial" w:cs="Arial"/>
        </w:rPr>
        <w:t xml:space="preserve"> técnico</w:t>
      </w:r>
      <w:r w:rsidR="00F91D5D">
        <w:rPr>
          <w:rFonts w:ascii="Arial" w:hAnsi="Arial" w:cs="Arial"/>
        </w:rPr>
        <w:t xml:space="preserve"> y metodológico</w:t>
      </w:r>
      <w:r w:rsidRPr="00AC4601">
        <w:rPr>
          <w:rFonts w:ascii="Arial" w:hAnsi="Arial" w:cs="Arial"/>
        </w:rPr>
        <w:t xml:space="preserve"> a las dependencias y procesos de la entidad para la implementación y sostenibilidad del Sistema de Gestión.</w:t>
      </w:r>
    </w:p>
    <w:p w14:paraId="64943695" w14:textId="77777777" w:rsidR="007E6B6B" w:rsidRPr="00AC4601" w:rsidRDefault="007E6B6B" w:rsidP="007E6B6B">
      <w:pPr>
        <w:pStyle w:val="Sinespaciado"/>
        <w:rPr>
          <w:rFonts w:ascii="Arial" w:hAnsi="Arial" w:cs="Arial"/>
        </w:rPr>
      </w:pPr>
    </w:p>
    <w:p w14:paraId="0C7D697D" w14:textId="0325C32A" w:rsidR="00B52B55" w:rsidRPr="00B52B55" w:rsidRDefault="009F16CA" w:rsidP="00B52B55">
      <w:pPr>
        <w:pStyle w:val="Sinespaciado"/>
        <w:numPr>
          <w:ilvl w:val="1"/>
          <w:numId w:val="14"/>
        </w:numPr>
        <w:jc w:val="both"/>
        <w:rPr>
          <w:rFonts w:ascii="Arial" w:hAnsi="Arial" w:cs="Arial"/>
          <w:b/>
        </w:rPr>
      </w:pPr>
      <w:r w:rsidRPr="00AC4601">
        <w:rPr>
          <w:rFonts w:ascii="Arial" w:hAnsi="Arial" w:cs="Arial"/>
          <w:b/>
        </w:rPr>
        <w:t xml:space="preserve">Plan de acción </w:t>
      </w:r>
      <w:r w:rsidR="00B52B55" w:rsidRPr="00B52B55">
        <w:rPr>
          <w:rFonts w:ascii="Arial" w:hAnsi="Arial" w:cs="Arial"/>
          <w:b/>
        </w:rPr>
        <w:t xml:space="preserve">del </w:t>
      </w:r>
      <w:r w:rsidR="00A36758" w:rsidRPr="00B52B55">
        <w:rPr>
          <w:rFonts w:ascii="Arial" w:hAnsi="Arial" w:cs="Arial"/>
          <w:b/>
        </w:rPr>
        <w:t xml:space="preserve">programa de implementación y sostenibilidad </w:t>
      </w:r>
      <w:r w:rsidR="00B52B55" w:rsidRPr="00B52B55">
        <w:rPr>
          <w:rFonts w:ascii="Arial" w:hAnsi="Arial" w:cs="Arial"/>
          <w:b/>
        </w:rPr>
        <w:t>del Sistema de Gestión</w:t>
      </w:r>
    </w:p>
    <w:p w14:paraId="4E026C01" w14:textId="4DF64F02" w:rsidR="00E37272" w:rsidRPr="00AC4601" w:rsidRDefault="00E37272" w:rsidP="00E37272">
      <w:pPr>
        <w:pStyle w:val="Sinespaciado"/>
        <w:jc w:val="both"/>
        <w:rPr>
          <w:rFonts w:ascii="Arial" w:hAnsi="Arial" w:cs="Arial"/>
        </w:rPr>
      </w:pPr>
    </w:p>
    <w:p w14:paraId="53980889" w14:textId="23B0695D" w:rsidR="008C1023" w:rsidRPr="00AC4601" w:rsidRDefault="001812E8" w:rsidP="00E37272">
      <w:pPr>
        <w:pStyle w:val="Sinespaciado"/>
        <w:jc w:val="both"/>
        <w:rPr>
          <w:rFonts w:ascii="Arial" w:hAnsi="Arial" w:cs="Arial"/>
        </w:rPr>
      </w:pPr>
      <w:r w:rsidRPr="00AC4601">
        <w:rPr>
          <w:rFonts w:ascii="Arial" w:hAnsi="Arial" w:cs="Arial"/>
        </w:rPr>
        <w:t>El programa de implementación y sostenibilidad del Sis</w:t>
      </w:r>
      <w:r w:rsidR="0040353C" w:rsidRPr="00AC4601">
        <w:rPr>
          <w:rFonts w:ascii="Arial" w:hAnsi="Arial" w:cs="Arial"/>
        </w:rPr>
        <w:t>tema de Gestión SG, contendrá u</w:t>
      </w:r>
      <w:r w:rsidR="00952F93">
        <w:rPr>
          <w:rFonts w:ascii="Arial" w:hAnsi="Arial" w:cs="Arial"/>
        </w:rPr>
        <w:t>n</w:t>
      </w:r>
      <w:r w:rsidR="0040353C" w:rsidRPr="00AC4601">
        <w:rPr>
          <w:rFonts w:ascii="Arial" w:hAnsi="Arial" w:cs="Arial"/>
        </w:rPr>
        <w:t xml:space="preserve"> </w:t>
      </w:r>
      <w:r w:rsidRPr="00AC4601">
        <w:rPr>
          <w:rFonts w:ascii="Arial" w:hAnsi="Arial" w:cs="Arial"/>
        </w:rPr>
        <w:t>plan de acción</w:t>
      </w:r>
      <w:r w:rsidR="00611FE7" w:rsidRPr="00AC4601">
        <w:rPr>
          <w:rFonts w:ascii="Arial" w:hAnsi="Arial" w:cs="Arial"/>
        </w:rPr>
        <w:t xml:space="preserve">, que buscará </w:t>
      </w:r>
      <w:r w:rsidR="00201629" w:rsidRPr="00AC4601">
        <w:rPr>
          <w:rFonts w:ascii="Arial" w:hAnsi="Arial" w:cs="Arial"/>
        </w:rPr>
        <w:t xml:space="preserve">la programación, articulación y coordinación de las actividades </w:t>
      </w:r>
      <w:r w:rsidR="00AF3901" w:rsidRPr="00AC4601">
        <w:rPr>
          <w:rFonts w:ascii="Arial" w:hAnsi="Arial" w:cs="Arial"/>
        </w:rPr>
        <w:t xml:space="preserve">propias </w:t>
      </w:r>
      <w:r w:rsidR="008A73BD">
        <w:rPr>
          <w:rFonts w:ascii="Arial" w:hAnsi="Arial" w:cs="Arial"/>
        </w:rPr>
        <w:t xml:space="preserve">y cuyos productos están orientados al </w:t>
      </w:r>
      <w:r w:rsidR="002D4B4B" w:rsidRPr="00AC4601">
        <w:rPr>
          <w:rFonts w:ascii="Arial" w:hAnsi="Arial" w:cs="Arial"/>
        </w:rPr>
        <w:t xml:space="preserve">aumento en el índice </w:t>
      </w:r>
      <w:r w:rsidR="006C332E" w:rsidRPr="00AC4601">
        <w:rPr>
          <w:rFonts w:ascii="Arial" w:hAnsi="Arial" w:cs="Arial"/>
        </w:rPr>
        <w:t>de desempe</w:t>
      </w:r>
      <w:r w:rsidR="00BA50E5" w:rsidRPr="00AC4601">
        <w:rPr>
          <w:rFonts w:ascii="Arial" w:hAnsi="Arial" w:cs="Arial"/>
        </w:rPr>
        <w:t xml:space="preserve">ño institucional </w:t>
      </w:r>
      <w:r w:rsidR="00C31430" w:rsidRPr="00AC4601">
        <w:rPr>
          <w:rFonts w:ascii="Arial" w:hAnsi="Arial" w:cs="Arial"/>
        </w:rPr>
        <w:t xml:space="preserve">que es medido a través del Formulario </w:t>
      </w:r>
      <w:r w:rsidR="001C3C2B" w:rsidRPr="00AC4601">
        <w:rPr>
          <w:rFonts w:ascii="Arial" w:hAnsi="Arial" w:cs="Arial"/>
        </w:rPr>
        <w:t>Único</w:t>
      </w:r>
      <w:r w:rsidR="00C31430" w:rsidRPr="00AC4601">
        <w:rPr>
          <w:rFonts w:ascii="Arial" w:hAnsi="Arial" w:cs="Arial"/>
        </w:rPr>
        <w:t xml:space="preserve"> </w:t>
      </w:r>
      <w:r w:rsidR="001C3C2B" w:rsidRPr="00AC4601">
        <w:rPr>
          <w:rFonts w:ascii="Arial" w:hAnsi="Arial" w:cs="Arial"/>
        </w:rPr>
        <w:t>de R</w:t>
      </w:r>
      <w:r w:rsidR="00081AFB" w:rsidRPr="00AC4601">
        <w:rPr>
          <w:rFonts w:ascii="Arial" w:hAnsi="Arial" w:cs="Arial"/>
        </w:rPr>
        <w:t xml:space="preserve">eporte </w:t>
      </w:r>
      <w:r w:rsidR="008448F8" w:rsidRPr="00AC4601">
        <w:rPr>
          <w:rFonts w:ascii="Arial" w:hAnsi="Arial" w:cs="Arial"/>
        </w:rPr>
        <w:t xml:space="preserve">de Avances de la Gestión </w:t>
      </w:r>
      <w:r w:rsidR="008C1023" w:rsidRPr="00AC4601">
        <w:rPr>
          <w:rFonts w:ascii="Arial" w:hAnsi="Arial" w:cs="Arial"/>
        </w:rPr>
        <w:t>– FURAG.</w:t>
      </w:r>
    </w:p>
    <w:p w14:paraId="440D4A8A" w14:textId="77777777" w:rsidR="008C1023" w:rsidRPr="00AC4601" w:rsidRDefault="008C1023" w:rsidP="00E37272">
      <w:pPr>
        <w:pStyle w:val="Sinespaciado"/>
        <w:jc w:val="both"/>
        <w:rPr>
          <w:rFonts w:ascii="Arial" w:hAnsi="Arial" w:cs="Arial"/>
        </w:rPr>
      </w:pPr>
    </w:p>
    <w:p w14:paraId="7D41E819" w14:textId="5F4F41DA" w:rsidR="00E37272" w:rsidRPr="00AC4601" w:rsidRDefault="0005115D" w:rsidP="00E37272">
      <w:pPr>
        <w:pStyle w:val="Sinespaciado"/>
        <w:jc w:val="both"/>
        <w:rPr>
          <w:rFonts w:ascii="Arial" w:hAnsi="Arial" w:cs="Arial"/>
        </w:rPr>
      </w:pPr>
      <w:r w:rsidRPr="00AC4601">
        <w:rPr>
          <w:rFonts w:ascii="Arial" w:hAnsi="Arial" w:cs="Arial"/>
        </w:rPr>
        <w:t>E</w:t>
      </w:r>
      <w:r w:rsidR="001812E8" w:rsidRPr="00AC4601">
        <w:rPr>
          <w:rFonts w:ascii="Arial" w:hAnsi="Arial" w:cs="Arial"/>
        </w:rPr>
        <w:t xml:space="preserve">l programa se encuentra </w:t>
      </w:r>
      <w:r w:rsidR="00637258">
        <w:rPr>
          <w:rFonts w:ascii="Arial" w:hAnsi="Arial" w:cs="Arial"/>
        </w:rPr>
        <w:t>estructurado a partir</w:t>
      </w:r>
      <w:r w:rsidR="001812E8" w:rsidRPr="00AC4601">
        <w:rPr>
          <w:rFonts w:ascii="Arial" w:hAnsi="Arial" w:cs="Arial"/>
        </w:rPr>
        <w:t xml:space="preserve"> de cuatro componentes y con </w:t>
      </w:r>
      <w:r w:rsidR="00637258">
        <w:rPr>
          <w:rFonts w:ascii="Arial" w:hAnsi="Arial" w:cs="Arial"/>
        </w:rPr>
        <w:t xml:space="preserve">una </w:t>
      </w:r>
      <w:r w:rsidR="001812E8" w:rsidRPr="00AC4601">
        <w:rPr>
          <w:rFonts w:ascii="Arial" w:hAnsi="Arial" w:cs="Arial"/>
        </w:rPr>
        <w:t xml:space="preserve">programación </w:t>
      </w:r>
      <w:r w:rsidR="00637258">
        <w:rPr>
          <w:rFonts w:ascii="Arial" w:hAnsi="Arial" w:cs="Arial"/>
        </w:rPr>
        <w:t xml:space="preserve">anual </w:t>
      </w:r>
      <w:r w:rsidR="005372D8" w:rsidRPr="00AC4601">
        <w:rPr>
          <w:rFonts w:ascii="Arial" w:hAnsi="Arial" w:cs="Arial"/>
        </w:rPr>
        <w:t>de actividades</w:t>
      </w:r>
      <w:r w:rsidR="00637258">
        <w:rPr>
          <w:rFonts w:ascii="Arial" w:hAnsi="Arial" w:cs="Arial"/>
        </w:rPr>
        <w:t>, que serán revisadas y actualizadas en cada vigencia, para responder a una programación total</w:t>
      </w:r>
      <w:r w:rsidR="005372D8" w:rsidRPr="00AC4601">
        <w:rPr>
          <w:rFonts w:ascii="Arial" w:hAnsi="Arial" w:cs="Arial"/>
        </w:rPr>
        <w:t xml:space="preserve"> </w:t>
      </w:r>
      <w:r w:rsidR="00BB0649" w:rsidRPr="00AC4601">
        <w:rPr>
          <w:rFonts w:ascii="Arial" w:hAnsi="Arial" w:cs="Arial"/>
        </w:rPr>
        <w:t xml:space="preserve">desde el </w:t>
      </w:r>
      <w:r w:rsidR="00785F40" w:rsidRPr="00AC4601">
        <w:rPr>
          <w:rFonts w:ascii="Arial" w:hAnsi="Arial" w:cs="Arial"/>
        </w:rPr>
        <w:t>01 julio de 2020 hasta el 31 de junio del 2024.</w:t>
      </w:r>
    </w:p>
    <w:p w14:paraId="7734ED91" w14:textId="77777777" w:rsidR="00E37272" w:rsidRPr="00AC4601" w:rsidRDefault="00E37272" w:rsidP="00E37272">
      <w:pPr>
        <w:pStyle w:val="Sinespaciado"/>
        <w:jc w:val="both"/>
        <w:rPr>
          <w:rFonts w:ascii="Arial" w:hAnsi="Arial" w:cs="Arial"/>
        </w:rPr>
      </w:pPr>
    </w:p>
    <w:p w14:paraId="23CB14EF" w14:textId="0F74D62E" w:rsidR="009F16CA" w:rsidRPr="00AC4601" w:rsidRDefault="00FF1093" w:rsidP="00FF1093">
      <w:pPr>
        <w:pStyle w:val="Sinespaciado"/>
        <w:ind w:left="993" w:hanging="633"/>
        <w:jc w:val="both"/>
        <w:rPr>
          <w:rFonts w:ascii="Arial" w:hAnsi="Arial" w:cs="Arial"/>
          <w:b/>
        </w:rPr>
      </w:pPr>
      <w:r w:rsidRPr="00AC4601">
        <w:rPr>
          <w:rFonts w:ascii="Arial" w:hAnsi="Arial" w:cs="Arial"/>
          <w:b/>
        </w:rPr>
        <w:t>2.</w:t>
      </w:r>
      <w:r w:rsidR="009F16CA" w:rsidRPr="00AC4601">
        <w:rPr>
          <w:rFonts w:ascii="Arial" w:hAnsi="Arial" w:cs="Arial"/>
          <w:b/>
        </w:rPr>
        <w:t>4.1</w:t>
      </w:r>
      <w:r w:rsidR="009F16CA" w:rsidRPr="00AC4601">
        <w:rPr>
          <w:rFonts w:ascii="Arial" w:hAnsi="Arial" w:cs="Arial"/>
          <w:b/>
        </w:rPr>
        <w:tab/>
      </w:r>
      <w:r w:rsidR="00117826" w:rsidRPr="00AC4601">
        <w:rPr>
          <w:rFonts w:ascii="Arial" w:hAnsi="Arial" w:cs="Arial"/>
          <w:b/>
        </w:rPr>
        <w:t xml:space="preserve">Componente: </w:t>
      </w:r>
      <w:r w:rsidR="009F16CA" w:rsidRPr="00AC4601">
        <w:rPr>
          <w:rFonts w:ascii="Arial" w:hAnsi="Arial" w:cs="Arial"/>
          <w:b/>
        </w:rPr>
        <w:t>Instancias de la institucionalidad</w:t>
      </w:r>
    </w:p>
    <w:p w14:paraId="4C0531C3" w14:textId="6E65C28A" w:rsidR="00C52CCF" w:rsidRPr="00AC4601" w:rsidRDefault="00C52CCF" w:rsidP="00FF1093">
      <w:pPr>
        <w:pStyle w:val="Sinespaciado"/>
        <w:rPr>
          <w:rFonts w:ascii="Arial" w:hAnsi="Arial" w:cs="Arial"/>
        </w:rPr>
      </w:pPr>
    </w:p>
    <w:p w14:paraId="357C4803" w14:textId="7DC1CFC1" w:rsidR="009B1CF4" w:rsidRPr="00AC4601" w:rsidRDefault="009B1CF4" w:rsidP="009B1CF4">
      <w:pPr>
        <w:pStyle w:val="Sinespaciado"/>
        <w:jc w:val="both"/>
        <w:rPr>
          <w:rFonts w:ascii="Arial" w:hAnsi="Arial" w:cs="Arial"/>
        </w:rPr>
      </w:pPr>
      <w:r w:rsidRPr="00AC4601">
        <w:rPr>
          <w:rFonts w:ascii="Arial" w:hAnsi="Arial" w:cs="Arial"/>
        </w:rPr>
        <w:t>De acuerdo con lo definido en la Manual Operativo del Modelo Integrado de Planeación y Gestión MIPG versión 3, “la institucionalidad es el conjunto de instancias que trabajan coordinadamente para establecer las reglas, condiciones, políticas, metodologías para que el Modelo funcione y logre sus objetivos”; entre esas instancias se encuentran el Comité Sectorial de Gestión y Desempeño y el Comité Institucional de Gestión y Desempeño.</w:t>
      </w:r>
    </w:p>
    <w:p w14:paraId="7BE37A8C" w14:textId="77777777" w:rsidR="009B1CF4" w:rsidRPr="00AC4601" w:rsidRDefault="009B1CF4" w:rsidP="009B1CF4">
      <w:pPr>
        <w:pStyle w:val="Sinespaciado"/>
        <w:jc w:val="both"/>
        <w:rPr>
          <w:rFonts w:ascii="Arial" w:hAnsi="Arial" w:cs="Arial"/>
        </w:rPr>
      </w:pPr>
    </w:p>
    <w:p w14:paraId="60E1366F" w14:textId="62BCCB1E" w:rsidR="009B1CF4" w:rsidRDefault="009B1CF4" w:rsidP="009B1CF4">
      <w:pPr>
        <w:pStyle w:val="Sinespaciado"/>
        <w:jc w:val="both"/>
        <w:rPr>
          <w:rFonts w:ascii="Arial" w:hAnsi="Arial" w:cs="Arial"/>
        </w:rPr>
      </w:pPr>
      <w:r w:rsidRPr="00AC4601">
        <w:rPr>
          <w:rFonts w:ascii="Arial" w:hAnsi="Arial" w:cs="Arial"/>
        </w:rPr>
        <w:t xml:space="preserve">Sin </w:t>
      </w:r>
      <w:r w:rsidR="00FE445C" w:rsidRPr="00AC4601">
        <w:rPr>
          <w:rFonts w:ascii="Arial" w:hAnsi="Arial" w:cs="Arial"/>
        </w:rPr>
        <w:t>embargo,</w:t>
      </w:r>
      <w:r w:rsidRPr="00AC4601">
        <w:rPr>
          <w:rFonts w:ascii="Arial" w:hAnsi="Arial" w:cs="Arial"/>
        </w:rPr>
        <w:t xml:space="preserve"> para el presente programa,</w:t>
      </w:r>
      <w:r w:rsidR="00FE445C" w:rsidRPr="00AC4601">
        <w:rPr>
          <w:rFonts w:ascii="Arial" w:hAnsi="Arial" w:cs="Arial"/>
        </w:rPr>
        <w:t xml:space="preserve"> </w:t>
      </w:r>
      <w:r w:rsidRPr="00AC4601">
        <w:rPr>
          <w:rFonts w:ascii="Arial" w:hAnsi="Arial" w:cs="Arial"/>
        </w:rPr>
        <w:t>se toma otra instancia a nivel operativo que corresponde al Comité de Gestores del Sistema de Gestión, cuya operación y funciones se encuentran establecidas en la Resolución 1075 del 2017</w:t>
      </w:r>
      <w:r w:rsidRPr="00AC4601">
        <w:rPr>
          <w:rStyle w:val="Refdenotaalpie"/>
          <w:rFonts w:ascii="Arial" w:hAnsi="Arial" w:cs="Arial"/>
        </w:rPr>
        <w:footnoteReference w:id="6"/>
      </w:r>
      <w:r w:rsidRPr="00AC4601">
        <w:rPr>
          <w:rFonts w:ascii="Arial" w:hAnsi="Arial" w:cs="Arial"/>
        </w:rPr>
        <w:t xml:space="preserve">, la cual se encuentra en actualización </w:t>
      </w:r>
      <w:r w:rsidR="00FA406D" w:rsidRPr="00AC4601">
        <w:rPr>
          <w:rFonts w:ascii="Arial" w:hAnsi="Arial" w:cs="Arial"/>
        </w:rPr>
        <w:t>de acuerdo con</w:t>
      </w:r>
      <w:r w:rsidRPr="00AC4601">
        <w:rPr>
          <w:rFonts w:ascii="Arial" w:hAnsi="Arial" w:cs="Arial"/>
        </w:rPr>
        <w:t xml:space="preserve"> la normativa vigente</w:t>
      </w:r>
      <w:r w:rsidR="00506C77" w:rsidRPr="00AC4601">
        <w:rPr>
          <w:rFonts w:ascii="Arial" w:hAnsi="Arial" w:cs="Arial"/>
        </w:rPr>
        <w:t>, Decreto Distrital 807 de 2019.</w:t>
      </w:r>
    </w:p>
    <w:p w14:paraId="7FC926A5" w14:textId="5917253D" w:rsidR="00DC6288" w:rsidRDefault="00DC6288" w:rsidP="009B1CF4">
      <w:pPr>
        <w:pStyle w:val="Sinespaciado"/>
        <w:jc w:val="both"/>
        <w:rPr>
          <w:rFonts w:ascii="Arial" w:hAnsi="Arial" w:cs="Arial"/>
        </w:rPr>
      </w:pPr>
    </w:p>
    <w:p w14:paraId="67FC76A4" w14:textId="77777777" w:rsidR="00DC6288" w:rsidRPr="00AC4601" w:rsidRDefault="00DC6288" w:rsidP="009B1CF4">
      <w:pPr>
        <w:pStyle w:val="Sinespaciado"/>
        <w:jc w:val="both"/>
        <w:rPr>
          <w:rFonts w:ascii="Arial" w:hAnsi="Arial" w:cs="Arial"/>
        </w:rPr>
      </w:pPr>
    </w:p>
    <w:p w14:paraId="5E872C7F" w14:textId="1522CD6C" w:rsidR="009B1CF4" w:rsidRPr="00AC4601" w:rsidRDefault="009B1CF4" w:rsidP="00FA406D">
      <w:pPr>
        <w:pStyle w:val="Sinespaciado"/>
        <w:ind w:left="993" w:hanging="633"/>
        <w:jc w:val="both"/>
        <w:rPr>
          <w:rFonts w:ascii="Arial" w:hAnsi="Arial" w:cs="Arial"/>
          <w:b/>
        </w:rPr>
      </w:pPr>
      <w:r w:rsidRPr="00AC4601">
        <w:rPr>
          <w:rFonts w:ascii="Arial" w:hAnsi="Arial" w:cs="Arial"/>
          <w:b/>
        </w:rPr>
        <w:lastRenderedPageBreak/>
        <w:t>2.4.1.1</w:t>
      </w:r>
      <w:r w:rsidR="00FA406D" w:rsidRPr="00AC4601">
        <w:rPr>
          <w:rFonts w:ascii="Arial" w:hAnsi="Arial" w:cs="Arial"/>
          <w:b/>
        </w:rPr>
        <w:t xml:space="preserve"> </w:t>
      </w:r>
      <w:r w:rsidRPr="00AC4601">
        <w:rPr>
          <w:rFonts w:ascii="Arial" w:hAnsi="Arial" w:cs="Arial"/>
          <w:b/>
        </w:rPr>
        <w:t>Comité Sectorial (Sector de Integración Social)</w:t>
      </w:r>
    </w:p>
    <w:p w14:paraId="1B8ED51D" w14:textId="519279E6" w:rsidR="005372D8" w:rsidRPr="00AC4601" w:rsidRDefault="005372D8" w:rsidP="006B6029">
      <w:pPr>
        <w:pStyle w:val="Sinespaciado"/>
        <w:jc w:val="both"/>
        <w:rPr>
          <w:rFonts w:ascii="Arial" w:hAnsi="Arial" w:cs="Arial"/>
        </w:rPr>
      </w:pPr>
    </w:p>
    <w:p w14:paraId="3ABB6163" w14:textId="30B83A18" w:rsidR="006A4956" w:rsidRPr="00AC4601" w:rsidRDefault="006A4956" w:rsidP="006A4956">
      <w:pPr>
        <w:pStyle w:val="Sinespaciado"/>
        <w:jc w:val="both"/>
        <w:rPr>
          <w:rFonts w:ascii="Arial" w:hAnsi="Arial" w:cs="Arial"/>
        </w:rPr>
      </w:pPr>
      <w:r w:rsidRPr="00AC4601">
        <w:rPr>
          <w:rFonts w:ascii="Arial" w:hAnsi="Arial" w:cs="Arial"/>
        </w:rPr>
        <w:t xml:space="preserve">En concordancia con lo establecido en el Decreto Distrital 807 de 2020 en su artículo 8, “los Comités Sectoriales de Gestión y Desempeño son los encargados de orientar la planeación estratégica del sector, dirigir, articular y hacer seguimiento a las políticas sectoriales, y de gestión y desempeño del MIPG, de acuerdo con la normatividad vigente en la materia”. </w:t>
      </w:r>
    </w:p>
    <w:p w14:paraId="4193EE14" w14:textId="77777777" w:rsidR="006A4956" w:rsidRPr="00AC4601" w:rsidRDefault="006A4956" w:rsidP="006A4956">
      <w:pPr>
        <w:pStyle w:val="Sinespaciado"/>
        <w:jc w:val="both"/>
        <w:rPr>
          <w:rFonts w:ascii="Arial" w:hAnsi="Arial" w:cs="Arial"/>
        </w:rPr>
      </w:pPr>
    </w:p>
    <w:p w14:paraId="63214A4F" w14:textId="335B8EFC" w:rsidR="006A4956" w:rsidRPr="00AC4601" w:rsidRDefault="006A4956" w:rsidP="006A4956">
      <w:pPr>
        <w:pStyle w:val="Sinespaciado"/>
        <w:jc w:val="both"/>
        <w:rPr>
          <w:rFonts w:ascii="Arial" w:hAnsi="Arial" w:cs="Arial"/>
        </w:rPr>
      </w:pPr>
      <w:r w:rsidRPr="00AC4601">
        <w:rPr>
          <w:rFonts w:ascii="Arial" w:hAnsi="Arial" w:cs="Arial"/>
        </w:rPr>
        <w:t>El Comité Sectorial del Sector Integración Social sigue funcionando como Comité Sectorial de Desarrollo Administrativo mientras se realiza la actualización normativa a nivel distrital. El Comité Sectorial es integrado por la Secretaría Distrital de Integración Social y el IDIPRON.</w:t>
      </w:r>
    </w:p>
    <w:p w14:paraId="77AB6E40" w14:textId="77777777" w:rsidR="005372D8" w:rsidRPr="00AC4601" w:rsidRDefault="005372D8" w:rsidP="005759C0">
      <w:pPr>
        <w:pStyle w:val="Sinespaciado"/>
        <w:rPr>
          <w:rFonts w:ascii="Arial" w:hAnsi="Arial" w:cs="Arial"/>
        </w:rPr>
      </w:pPr>
    </w:p>
    <w:p w14:paraId="24503A98" w14:textId="74974BCB" w:rsidR="009F16CA" w:rsidRPr="00AC4601" w:rsidRDefault="009F16CA" w:rsidP="006B6029">
      <w:pPr>
        <w:pStyle w:val="Sinespaciado"/>
        <w:ind w:left="993" w:hanging="633"/>
        <w:jc w:val="both"/>
        <w:rPr>
          <w:rFonts w:ascii="Arial" w:hAnsi="Arial" w:cs="Arial"/>
          <w:b/>
        </w:rPr>
      </w:pPr>
      <w:r w:rsidRPr="00AC4601">
        <w:rPr>
          <w:rFonts w:ascii="Arial" w:hAnsi="Arial" w:cs="Arial"/>
          <w:b/>
        </w:rPr>
        <w:t>2.4.1.2 Comité Institucional de Gestión y Desempeño</w:t>
      </w:r>
    </w:p>
    <w:p w14:paraId="5C31D263" w14:textId="131788C5" w:rsidR="006B6029" w:rsidRPr="00AC4601" w:rsidRDefault="006B6029" w:rsidP="006B6029">
      <w:pPr>
        <w:pStyle w:val="Sinespaciado"/>
        <w:rPr>
          <w:rFonts w:ascii="Arial" w:hAnsi="Arial" w:cs="Arial"/>
        </w:rPr>
      </w:pPr>
    </w:p>
    <w:p w14:paraId="25DC7589" w14:textId="0FF6B8E5" w:rsidR="001A5FCF" w:rsidRPr="00AC4601" w:rsidRDefault="005759C0" w:rsidP="001A5FCF">
      <w:pPr>
        <w:pStyle w:val="Sinespaciado"/>
        <w:jc w:val="both"/>
        <w:rPr>
          <w:rFonts w:ascii="Arial" w:hAnsi="Arial" w:cs="Arial"/>
        </w:rPr>
      </w:pPr>
      <w:r w:rsidRPr="00AC4601">
        <w:rPr>
          <w:rFonts w:ascii="Arial" w:hAnsi="Arial" w:cs="Arial"/>
        </w:rPr>
        <w:t>E</w:t>
      </w:r>
      <w:r w:rsidR="001A5FCF" w:rsidRPr="00AC4601">
        <w:rPr>
          <w:rFonts w:ascii="Arial" w:hAnsi="Arial" w:cs="Arial"/>
        </w:rPr>
        <w:t>l Decreto Distrital 807 de 20</w:t>
      </w:r>
      <w:r w:rsidR="006C3676" w:rsidRPr="00AC4601">
        <w:rPr>
          <w:rFonts w:ascii="Arial" w:hAnsi="Arial" w:cs="Arial"/>
        </w:rPr>
        <w:t>19</w:t>
      </w:r>
      <w:r w:rsidR="001A5FCF" w:rsidRPr="00AC4601">
        <w:rPr>
          <w:rFonts w:ascii="Arial" w:hAnsi="Arial" w:cs="Arial"/>
        </w:rPr>
        <w:t xml:space="preserve"> en su artículo 7, “los Comités Institucionales de Gestión y Desempeño son los encargados de orientar la implementación y seguimiento del Sistema de Gestión y la operación del Modelo Integrado de Planeación y Gestión - MIPG, articulando todas las áreas de la entidad, recursos, herramientas, estrategias y políticas de gestión y desempeño institucional, de acuerdo con la normatividad vigente en la materia”.</w:t>
      </w:r>
    </w:p>
    <w:p w14:paraId="1595C025" w14:textId="77777777" w:rsidR="001A5FCF" w:rsidRPr="00AC4601" w:rsidRDefault="001A5FCF" w:rsidP="001A5FCF">
      <w:pPr>
        <w:pStyle w:val="Sinespaciado"/>
        <w:jc w:val="both"/>
        <w:rPr>
          <w:rFonts w:ascii="Arial" w:hAnsi="Arial" w:cs="Arial"/>
        </w:rPr>
      </w:pPr>
    </w:p>
    <w:p w14:paraId="2CF907D6" w14:textId="77777777" w:rsidR="001A5FCF" w:rsidRPr="00AC4601" w:rsidRDefault="001A5FCF" w:rsidP="001A5FCF">
      <w:pPr>
        <w:pStyle w:val="Sinespaciado"/>
        <w:jc w:val="both"/>
        <w:rPr>
          <w:rFonts w:ascii="Arial" w:hAnsi="Arial" w:cs="Arial"/>
        </w:rPr>
      </w:pPr>
      <w:r w:rsidRPr="00AC4601">
        <w:rPr>
          <w:rFonts w:ascii="Arial" w:hAnsi="Arial" w:cs="Arial"/>
        </w:rPr>
        <w:t>El Comité Institucional de Gestión y Desempeño fue creado en la Secretaría Distrital de Integración Social mediante la Resolución 0355 de 2019 y actualizado con la Resolución 0652 de 2020</w:t>
      </w:r>
    </w:p>
    <w:p w14:paraId="19F0C800" w14:textId="77777777" w:rsidR="006B6029" w:rsidRPr="00AC4601" w:rsidRDefault="006B6029" w:rsidP="006B6029">
      <w:pPr>
        <w:pStyle w:val="Sinespaciado"/>
        <w:rPr>
          <w:rFonts w:ascii="Arial" w:hAnsi="Arial" w:cs="Arial"/>
        </w:rPr>
      </w:pPr>
    </w:p>
    <w:p w14:paraId="34E49EAE" w14:textId="628F5AED" w:rsidR="009F16CA" w:rsidRPr="00AC4601" w:rsidRDefault="009F16CA" w:rsidP="00E529C2">
      <w:pPr>
        <w:pStyle w:val="Sinespaciado"/>
        <w:ind w:left="993" w:hanging="633"/>
        <w:jc w:val="both"/>
        <w:rPr>
          <w:rFonts w:ascii="Arial" w:hAnsi="Arial" w:cs="Arial"/>
          <w:b/>
        </w:rPr>
      </w:pPr>
      <w:r w:rsidRPr="00AC4601">
        <w:rPr>
          <w:rFonts w:ascii="Arial" w:hAnsi="Arial" w:cs="Arial"/>
          <w:b/>
        </w:rPr>
        <w:t>2.4.1.3 Comité de Gestores del Sistema de Gestión</w:t>
      </w:r>
    </w:p>
    <w:p w14:paraId="69F47EA7" w14:textId="63ABB1E5" w:rsidR="006B6029" w:rsidRPr="00AC4601" w:rsidRDefault="006B6029" w:rsidP="00E529C2">
      <w:pPr>
        <w:pStyle w:val="Sinespaciado"/>
        <w:rPr>
          <w:rFonts w:ascii="Arial" w:hAnsi="Arial" w:cs="Arial"/>
        </w:rPr>
      </w:pPr>
    </w:p>
    <w:p w14:paraId="33B99460" w14:textId="6B4395D1" w:rsidR="00B2587F" w:rsidRPr="003E69E3" w:rsidRDefault="0005005C" w:rsidP="00B2587F">
      <w:pPr>
        <w:pStyle w:val="Sinespaciado"/>
        <w:jc w:val="both"/>
        <w:rPr>
          <w:rFonts w:ascii="Arial" w:hAnsi="Arial" w:cs="Arial"/>
        </w:rPr>
      </w:pPr>
      <w:r w:rsidRPr="003E69E3">
        <w:rPr>
          <w:rFonts w:ascii="Arial" w:hAnsi="Arial" w:cs="Arial"/>
        </w:rPr>
        <w:t xml:space="preserve">El Comité de Gestores del Sistema Integrado de Gestión, </w:t>
      </w:r>
      <w:r w:rsidR="00B2587F" w:rsidRPr="003E69E3">
        <w:rPr>
          <w:rFonts w:ascii="Arial" w:hAnsi="Arial" w:cs="Arial"/>
        </w:rPr>
        <w:t xml:space="preserve">establecido </w:t>
      </w:r>
      <w:r w:rsidRPr="003E69E3">
        <w:rPr>
          <w:rFonts w:ascii="Arial" w:hAnsi="Arial" w:cs="Arial"/>
        </w:rPr>
        <w:t xml:space="preserve">mediante </w:t>
      </w:r>
      <w:r w:rsidR="00B2587F" w:rsidRPr="003E69E3">
        <w:rPr>
          <w:rFonts w:ascii="Arial" w:hAnsi="Arial" w:cs="Arial"/>
        </w:rPr>
        <w:t>la Resolución 1075 de 2017</w:t>
      </w:r>
      <w:r w:rsidR="0033111A" w:rsidRPr="003E69E3">
        <w:rPr>
          <w:rFonts w:ascii="Arial" w:hAnsi="Arial" w:cs="Arial"/>
        </w:rPr>
        <w:t xml:space="preserve"> título III</w:t>
      </w:r>
      <w:r w:rsidR="00B2587F" w:rsidRPr="003E69E3">
        <w:rPr>
          <w:rFonts w:ascii="Arial" w:hAnsi="Arial" w:cs="Arial"/>
        </w:rPr>
        <w:t xml:space="preserve"> capítulo 5, es la instancia operativa </w:t>
      </w:r>
      <w:r w:rsidR="008F1A85" w:rsidRPr="003E69E3">
        <w:rPr>
          <w:rFonts w:ascii="Arial" w:hAnsi="Arial" w:cs="Arial"/>
        </w:rPr>
        <w:t xml:space="preserve">cuyo objetivo es </w:t>
      </w:r>
      <w:r w:rsidR="00B2587F" w:rsidRPr="003E69E3">
        <w:rPr>
          <w:rFonts w:ascii="Arial" w:hAnsi="Arial" w:cs="Arial"/>
        </w:rPr>
        <w:t>realizar seguimiento a los elementos del Sistema Integrado de Gesti</w:t>
      </w:r>
      <w:r w:rsidR="00946D9D" w:rsidRPr="003E69E3">
        <w:rPr>
          <w:rFonts w:ascii="Arial" w:hAnsi="Arial" w:cs="Arial"/>
        </w:rPr>
        <w:t>ó</w:t>
      </w:r>
      <w:r w:rsidR="00B2587F" w:rsidRPr="003E69E3">
        <w:rPr>
          <w:rFonts w:ascii="Arial" w:hAnsi="Arial" w:cs="Arial"/>
        </w:rPr>
        <w:t xml:space="preserve">n –SIG. </w:t>
      </w:r>
    </w:p>
    <w:p w14:paraId="4CD4873E" w14:textId="2E8C5B1A" w:rsidR="006B6029" w:rsidRPr="003E69E3" w:rsidRDefault="006B6029" w:rsidP="00C56703">
      <w:pPr>
        <w:pStyle w:val="Sinespaciado"/>
        <w:jc w:val="both"/>
        <w:rPr>
          <w:rFonts w:ascii="Arial" w:hAnsi="Arial" w:cs="Arial"/>
        </w:rPr>
      </w:pPr>
    </w:p>
    <w:p w14:paraId="48373BE1" w14:textId="3525175C" w:rsidR="00B47CDF" w:rsidRPr="003E69E3" w:rsidRDefault="00B47CDF" w:rsidP="00C56703">
      <w:pPr>
        <w:pStyle w:val="Sinespaciado"/>
        <w:jc w:val="both"/>
        <w:rPr>
          <w:rFonts w:ascii="Arial" w:hAnsi="Arial" w:cs="Arial"/>
        </w:rPr>
      </w:pPr>
      <w:r w:rsidRPr="003E69E3">
        <w:rPr>
          <w:rFonts w:ascii="Arial" w:hAnsi="Arial" w:cs="Arial"/>
        </w:rPr>
        <w:t>Está integrado por:</w:t>
      </w:r>
    </w:p>
    <w:p w14:paraId="187C941E" w14:textId="1BE6A4A2" w:rsidR="0040445C" w:rsidRPr="003E69E3" w:rsidRDefault="00B47CDF" w:rsidP="0040445C">
      <w:pPr>
        <w:pStyle w:val="Sinespaciado"/>
        <w:numPr>
          <w:ilvl w:val="0"/>
          <w:numId w:val="38"/>
        </w:numPr>
        <w:jc w:val="both"/>
        <w:rPr>
          <w:rFonts w:ascii="Arial" w:hAnsi="Arial" w:cs="Arial"/>
        </w:rPr>
      </w:pPr>
      <w:r w:rsidRPr="003E69E3">
        <w:rPr>
          <w:rFonts w:ascii="Arial" w:hAnsi="Arial" w:cs="Arial"/>
        </w:rPr>
        <w:t xml:space="preserve">Gestores de </w:t>
      </w:r>
      <w:r w:rsidR="0040445C" w:rsidRPr="003E69E3">
        <w:rPr>
          <w:rFonts w:ascii="Arial" w:hAnsi="Arial" w:cs="Arial"/>
        </w:rPr>
        <w:t>proceso</w:t>
      </w:r>
    </w:p>
    <w:p w14:paraId="7DC32230" w14:textId="3F9AA037" w:rsidR="0040445C" w:rsidRPr="003E69E3" w:rsidRDefault="0040445C" w:rsidP="0040445C">
      <w:pPr>
        <w:pStyle w:val="Sinespaciado"/>
        <w:numPr>
          <w:ilvl w:val="0"/>
          <w:numId w:val="38"/>
        </w:numPr>
        <w:jc w:val="both"/>
        <w:rPr>
          <w:rFonts w:ascii="Arial" w:hAnsi="Arial" w:cs="Arial"/>
        </w:rPr>
      </w:pPr>
      <w:r w:rsidRPr="003E69E3">
        <w:rPr>
          <w:rFonts w:ascii="Arial" w:hAnsi="Arial" w:cs="Arial"/>
        </w:rPr>
        <w:t>Gestores de dependencia</w:t>
      </w:r>
      <w:r w:rsidR="009F7F3A" w:rsidRPr="003E69E3">
        <w:rPr>
          <w:rFonts w:ascii="Arial" w:hAnsi="Arial" w:cs="Arial"/>
        </w:rPr>
        <w:t>, donde el gestor de la Oficina de Control Interno participa bajo el rol de asesoría y acompañamiento</w:t>
      </w:r>
    </w:p>
    <w:p w14:paraId="0EBBC629" w14:textId="19ADE799" w:rsidR="0040445C" w:rsidRPr="003E69E3" w:rsidRDefault="0040445C" w:rsidP="0040445C">
      <w:pPr>
        <w:pStyle w:val="Sinespaciado"/>
        <w:numPr>
          <w:ilvl w:val="0"/>
          <w:numId w:val="38"/>
        </w:numPr>
        <w:jc w:val="both"/>
        <w:rPr>
          <w:rFonts w:ascii="Arial" w:hAnsi="Arial" w:cs="Arial"/>
        </w:rPr>
      </w:pPr>
      <w:r w:rsidRPr="003E69E3">
        <w:rPr>
          <w:rFonts w:ascii="Arial" w:hAnsi="Arial" w:cs="Arial"/>
        </w:rPr>
        <w:t>Equipo de gestores de la Dirección de Análisis y Diseño Estratégico</w:t>
      </w:r>
      <w:r w:rsidR="00B41207" w:rsidRPr="003E69E3">
        <w:rPr>
          <w:rFonts w:ascii="Arial" w:hAnsi="Arial" w:cs="Arial"/>
        </w:rPr>
        <w:t xml:space="preserve"> – DADE,</w:t>
      </w:r>
      <w:r w:rsidRPr="003E69E3">
        <w:rPr>
          <w:rFonts w:ascii="Arial" w:hAnsi="Arial" w:cs="Arial"/>
        </w:rPr>
        <w:t xml:space="preserve"> para el Sistema de Gestión</w:t>
      </w:r>
    </w:p>
    <w:p w14:paraId="419BB0CB" w14:textId="77777777" w:rsidR="0040445C" w:rsidRPr="0040445C" w:rsidRDefault="0040445C">
      <w:pPr>
        <w:pStyle w:val="Sinespaciado"/>
        <w:jc w:val="both"/>
        <w:rPr>
          <w:sz w:val="24"/>
          <w:szCs w:val="24"/>
        </w:rPr>
      </w:pPr>
    </w:p>
    <w:p w14:paraId="0585AA4E" w14:textId="41C64B75" w:rsidR="008F1A85" w:rsidRDefault="008F1A85" w:rsidP="0040445C">
      <w:pPr>
        <w:pStyle w:val="Sinespaciado"/>
        <w:jc w:val="both"/>
        <w:rPr>
          <w:rFonts w:ascii="Arial" w:hAnsi="Arial" w:cs="Arial"/>
        </w:rPr>
      </w:pPr>
      <w:r w:rsidRPr="003E69E3">
        <w:rPr>
          <w:rFonts w:ascii="Arial" w:hAnsi="Arial" w:cs="Arial"/>
        </w:rPr>
        <w:t xml:space="preserve">Dentro de las funciones </w:t>
      </w:r>
      <w:r w:rsidR="00A31784" w:rsidRPr="003E69E3">
        <w:rPr>
          <w:rFonts w:ascii="Arial" w:hAnsi="Arial" w:cs="Arial"/>
        </w:rPr>
        <w:t>que el comité desarrolla mensualmente en sus sesiones, se</w:t>
      </w:r>
      <w:r w:rsidRPr="003E69E3">
        <w:rPr>
          <w:rFonts w:ascii="Arial" w:hAnsi="Arial" w:cs="Arial"/>
        </w:rPr>
        <w:t xml:space="preserve"> encuentran las siguientes:</w:t>
      </w:r>
    </w:p>
    <w:p w14:paraId="65F34B0C" w14:textId="0EF58A87" w:rsidR="008F1A85" w:rsidRPr="003E69E3" w:rsidRDefault="008F1A85" w:rsidP="008F1A85">
      <w:pPr>
        <w:pStyle w:val="Sinespaciado"/>
        <w:numPr>
          <w:ilvl w:val="0"/>
          <w:numId w:val="38"/>
        </w:numPr>
        <w:jc w:val="both"/>
        <w:rPr>
          <w:rFonts w:ascii="Arial" w:hAnsi="Arial" w:cs="Arial"/>
        </w:rPr>
      </w:pPr>
      <w:r w:rsidRPr="003E69E3">
        <w:rPr>
          <w:rFonts w:ascii="Arial" w:hAnsi="Arial" w:cs="Arial"/>
        </w:rPr>
        <w:t>Proponer</w:t>
      </w:r>
      <w:r w:rsidR="00A31784" w:rsidRPr="003E69E3">
        <w:rPr>
          <w:rFonts w:ascii="Arial" w:hAnsi="Arial" w:cs="Arial"/>
        </w:rPr>
        <w:t xml:space="preserve"> y documentar las políticas, planes, programas y objetivos necesarios para la implementación, mejora y sostenibilidad del </w:t>
      </w:r>
      <w:r w:rsidR="001C2A15">
        <w:rPr>
          <w:rFonts w:ascii="Arial" w:hAnsi="Arial" w:cs="Arial"/>
        </w:rPr>
        <w:t>Sistema de Gestión</w:t>
      </w:r>
      <w:r w:rsidR="00A31784" w:rsidRPr="003E69E3">
        <w:rPr>
          <w:rFonts w:ascii="Arial" w:hAnsi="Arial" w:cs="Arial"/>
        </w:rPr>
        <w:t>.</w:t>
      </w:r>
    </w:p>
    <w:p w14:paraId="0453DBAD" w14:textId="12D55269" w:rsidR="00A31784" w:rsidRPr="003E69E3" w:rsidRDefault="00A31784" w:rsidP="008F1A85">
      <w:pPr>
        <w:pStyle w:val="Sinespaciado"/>
        <w:numPr>
          <w:ilvl w:val="0"/>
          <w:numId w:val="38"/>
        </w:numPr>
        <w:jc w:val="both"/>
        <w:rPr>
          <w:rFonts w:ascii="Arial" w:hAnsi="Arial" w:cs="Arial"/>
        </w:rPr>
      </w:pPr>
      <w:r w:rsidRPr="003E69E3">
        <w:rPr>
          <w:rFonts w:ascii="Arial" w:hAnsi="Arial" w:cs="Arial"/>
        </w:rPr>
        <w:t xml:space="preserve">Realizar seguimiento periódico al cumplimiento de las políticas, planes, programas y objetivos para la implementación, mejora y sostenibilidad del </w:t>
      </w:r>
      <w:r w:rsidR="00186636" w:rsidRPr="003E69E3">
        <w:rPr>
          <w:rFonts w:ascii="Arial" w:hAnsi="Arial" w:cs="Arial"/>
        </w:rPr>
        <w:t>Sistema de Gestión</w:t>
      </w:r>
      <w:r w:rsidRPr="003E69E3">
        <w:rPr>
          <w:rFonts w:ascii="Arial" w:hAnsi="Arial" w:cs="Arial"/>
        </w:rPr>
        <w:t>.</w:t>
      </w:r>
    </w:p>
    <w:p w14:paraId="223711C2" w14:textId="766F0242" w:rsidR="00A31784" w:rsidRPr="003E69E3" w:rsidRDefault="00A71622" w:rsidP="00CB7BD2">
      <w:pPr>
        <w:pStyle w:val="Sinespaciado"/>
        <w:numPr>
          <w:ilvl w:val="0"/>
          <w:numId w:val="38"/>
        </w:numPr>
        <w:jc w:val="both"/>
        <w:rPr>
          <w:rFonts w:ascii="Arial" w:hAnsi="Arial" w:cs="Arial"/>
        </w:rPr>
      </w:pPr>
      <w:r w:rsidRPr="003E69E3">
        <w:rPr>
          <w:rFonts w:ascii="Arial" w:hAnsi="Arial" w:cs="Arial"/>
        </w:rPr>
        <w:t>Identificar oportunidades de mejora</w:t>
      </w:r>
      <w:r w:rsidR="00B41207" w:rsidRPr="003E69E3">
        <w:rPr>
          <w:rFonts w:ascii="Arial" w:hAnsi="Arial" w:cs="Arial"/>
        </w:rPr>
        <w:t xml:space="preserve"> para el Sistema de Gestión. </w:t>
      </w:r>
    </w:p>
    <w:p w14:paraId="150EC1E0" w14:textId="77777777" w:rsidR="00B47CDF" w:rsidRPr="003E69E3" w:rsidRDefault="00B47CDF" w:rsidP="00C56703">
      <w:pPr>
        <w:pStyle w:val="Sinespaciado"/>
        <w:jc w:val="both"/>
        <w:rPr>
          <w:rFonts w:ascii="Arial" w:hAnsi="Arial" w:cs="Arial"/>
        </w:rPr>
      </w:pPr>
    </w:p>
    <w:p w14:paraId="4CD4EA85" w14:textId="3B24986C" w:rsidR="00D11A1D" w:rsidRPr="003E69E3" w:rsidRDefault="004F4064" w:rsidP="00C56703">
      <w:pPr>
        <w:pStyle w:val="Sinespaciado"/>
        <w:jc w:val="both"/>
        <w:rPr>
          <w:rFonts w:ascii="Arial" w:hAnsi="Arial" w:cs="Arial"/>
        </w:rPr>
      </w:pPr>
      <w:r w:rsidRPr="003E69E3">
        <w:rPr>
          <w:rFonts w:ascii="Arial" w:hAnsi="Arial" w:cs="Arial"/>
        </w:rPr>
        <w:lastRenderedPageBreak/>
        <w:t>T</w:t>
      </w:r>
      <w:r w:rsidR="00B41207" w:rsidRPr="003E69E3">
        <w:rPr>
          <w:rFonts w:ascii="Arial" w:hAnsi="Arial" w:cs="Arial"/>
        </w:rPr>
        <w:t xml:space="preserve">anto los gestores de dependencia y de proceso como el equipo de gestores de la DADE </w:t>
      </w:r>
      <w:r w:rsidR="0094180C" w:rsidRPr="003E69E3">
        <w:rPr>
          <w:rFonts w:ascii="Arial" w:hAnsi="Arial" w:cs="Arial"/>
        </w:rPr>
        <w:t>se convierten en actores clave para la sostenibilidad del Sistema de Gestión de la entidad ya que son el apoyo técnico y operativo de los líderes de proceso, jefes de dependencia y de la alta dirección</w:t>
      </w:r>
      <w:r w:rsidR="00780B85" w:rsidRPr="003E69E3">
        <w:rPr>
          <w:rFonts w:ascii="Arial" w:hAnsi="Arial" w:cs="Arial"/>
        </w:rPr>
        <w:t>,</w:t>
      </w:r>
      <w:r w:rsidR="0094180C" w:rsidRPr="003E69E3">
        <w:rPr>
          <w:rFonts w:ascii="Arial" w:hAnsi="Arial" w:cs="Arial"/>
        </w:rPr>
        <w:t xml:space="preserve"> para el </w:t>
      </w:r>
      <w:r w:rsidR="00B41207" w:rsidRPr="003E69E3">
        <w:rPr>
          <w:rFonts w:ascii="Arial" w:hAnsi="Arial" w:cs="Arial"/>
        </w:rPr>
        <w:t xml:space="preserve">desarrollo de las actividades contenidas bajo cada uno de los </w:t>
      </w:r>
      <w:r w:rsidR="009D7C4A" w:rsidRPr="009D7C4A">
        <w:rPr>
          <w:rFonts w:ascii="Arial" w:hAnsi="Arial" w:cs="Arial"/>
        </w:rPr>
        <w:t>elementos</w:t>
      </w:r>
      <w:r w:rsidR="00B41207" w:rsidRPr="003E69E3">
        <w:rPr>
          <w:rFonts w:ascii="Arial" w:hAnsi="Arial" w:cs="Arial"/>
        </w:rPr>
        <w:t xml:space="preserve"> que componen el numeral Enfoque basado en procesos. </w:t>
      </w:r>
    </w:p>
    <w:p w14:paraId="21091558" w14:textId="77777777" w:rsidR="00B41207" w:rsidRPr="00E7223B" w:rsidRDefault="00B41207" w:rsidP="00C56703">
      <w:pPr>
        <w:pStyle w:val="Sinespaciado"/>
        <w:jc w:val="both"/>
        <w:rPr>
          <w:sz w:val="24"/>
          <w:szCs w:val="24"/>
        </w:rPr>
      </w:pPr>
    </w:p>
    <w:p w14:paraId="41A83B4C" w14:textId="032AA7CA" w:rsidR="009F16CA" w:rsidRPr="00F10DBC" w:rsidRDefault="009F16CA" w:rsidP="001E22BD">
      <w:pPr>
        <w:pStyle w:val="Sinespaciado"/>
        <w:ind w:left="993" w:hanging="633"/>
        <w:jc w:val="both"/>
        <w:rPr>
          <w:rFonts w:ascii="Arial" w:hAnsi="Arial" w:cs="Arial"/>
          <w:b/>
        </w:rPr>
      </w:pPr>
      <w:r w:rsidRPr="00F10DBC">
        <w:rPr>
          <w:rFonts w:ascii="Arial" w:hAnsi="Arial" w:cs="Arial"/>
          <w:b/>
        </w:rPr>
        <w:t>2.4.2</w:t>
      </w:r>
      <w:r w:rsidRPr="00F10DBC">
        <w:rPr>
          <w:rFonts w:ascii="Arial" w:hAnsi="Arial" w:cs="Arial"/>
          <w:b/>
        </w:rPr>
        <w:tab/>
      </w:r>
      <w:r w:rsidR="00117826" w:rsidRPr="00F10DBC">
        <w:rPr>
          <w:rFonts w:ascii="Arial" w:hAnsi="Arial" w:cs="Arial"/>
          <w:b/>
        </w:rPr>
        <w:t xml:space="preserve">Componente: </w:t>
      </w:r>
      <w:r w:rsidRPr="00F10DBC">
        <w:rPr>
          <w:rFonts w:ascii="Arial" w:hAnsi="Arial" w:cs="Arial"/>
          <w:b/>
        </w:rPr>
        <w:t>Enfoque basado en procesos</w:t>
      </w:r>
    </w:p>
    <w:p w14:paraId="2FB247E1" w14:textId="2BD1C22F" w:rsidR="001E22BD" w:rsidRPr="00F10DBC" w:rsidRDefault="001E22BD" w:rsidP="005A4432">
      <w:pPr>
        <w:pStyle w:val="Sinespaciado"/>
        <w:rPr>
          <w:rFonts w:ascii="Arial" w:hAnsi="Arial" w:cs="Arial"/>
        </w:rPr>
      </w:pPr>
    </w:p>
    <w:p w14:paraId="08CA1553" w14:textId="3BCA3C0A" w:rsidR="00973E31" w:rsidRPr="00F10DBC" w:rsidRDefault="00973E31" w:rsidP="007205B4">
      <w:pPr>
        <w:pStyle w:val="Sinespaciado"/>
        <w:jc w:val="both"/>
        <w:rPr>
          <w:rFonts w:ascii="Arial" w:hAnsi="Arial" w:cs="Arial"/>
        </w:rPr>
      </w:pPr>
      <w:r w:rsidRPr="00F10DBC">
        <w:rPr>
          <w:rFonts w:ascii="Arial" w:hAnsi="Arial" w:cs="Arial"/>
        </w:rPr>
        <w:t xml:space="preserve">De acuerdo </w:t>
      </w:r>
      <w:r w:rsidR="00FA403F">
        <w:rPr>
          <w:rFonts w:ascii="Arial" w:hAnsi="Arial" w:cs="Arial"/>
        </w:rPr>
        <w:t>con</w:t>
      </w:r>
      <w:r w:rsidR="00414DCB" w:rsidRPr="00F10DBC">
        <w:rPr>
          <w:rFonts w:ascii="Arial" w:hAnsi="Arial" w:cs="Arial"/>
        </w:rPr>
        <w:t xml:space="preserve"> lo establecido en e</w:t>
      </w:r>
      <w:r w:rsidRPr="00F10DBC">
        <w:rPr>
          <w:rFonts w:ascii="Arial" w:hAnsi="Arial" w:cs="Arial"/>
        </w:rPr>
        <w:t>l marco de referencia a través del cual se desarrolla el sistema de ges</w:t>
      </w:r>
      <w:r w:rsidR="00DF001D" w:rsidRPr="00F10DBC">
        <w:rPr>
          <w:rFonts w:ascii="Arial" w:hAnsi="Arial" w:cs="Arial"/>
        </w:rPr>
        <w:t>ti</w:t>
      </w:r>
      <w:r w:rsidRPr="00F10DBC">
        <w:rPr>
          <w:rFonts w:ascii="Arial" w:hAnsi="Arial" w:cs="Arial"/>
        </w:rPr>
        <w:t>ón de la entidad</w:t>
      </w:r>
      <w:r w:rsidR="00414DCB" w:rsidRPr="00F10DBC">
        <w:rPr>
          <w:rFonts w:ascii="Arial" w:hAnsi="Arial" w:cs="Arial"/>
        </w:rPr>
        <w:t xml:space="preserve">, el Modelo Integrado de Planeación y Gestión -MIPG, todas las actividades que se llevan a cabo para cumplir su misión se desarrollan bajo un enfoque </w:t>
      </w:r>
      <w:r w:rsidR="00FA403F">
        <w:rPr>
          <w:rFonts w:ascii="Arial" w:hAnsi="Arial" w:cs="Arial"/>
        </w:rPr>
        <w:t>basado en</w:t>
      </w:r>
      <w:r w:rsidR="00414DCB" w:rsidRPr="00F10DBC">
        <w:rPr>
          <w:rFonts w:ascii="Arial" w:hAnsi="Arial" w:cs="Arial"/>
        </w:rPr>
        <w:t xml:space="preserve"> procesos. Esto quiere decir que la gestión de la entidad no solo se lleva a cabo de manera vertical </w:t>
      </w:r>
      <w:r w:rsidR="00DF001D" w:rsidRPr="00F10DBC">
        <w:rPr>
          <w:rFonts w:ascii="Arial" w:hAnsi="Arial" w:cs="Arial"/>
        </w:rPr>
        <w:t xml:space="preserve">de acuerdo </w:t>
      </w:r>
      <w:r w:rsidR="00FA403F">
        <w:rPr>
          <w:rFonts w:ascii="Arial" w:hAnsi="Arial" w:cs="Arial"/>
        </w:rPr>
        <w:t>con e</w:t>
      </w:r>
      <w:r w:rsidR="00DF001D" w:rsidRPr="00F10DBC">
        <w:rPr>
          <w:rFonts w:ascii="Arial" w:hAnsi="Arial" w:cs="Arial"/>
        </w:rPr>
        <w:t xml:space="preserve">l organigrama, </w:t>
      </w:r>
      <w:r w:rsidR="00414DCB" w:rsidRPr="00F10DBC">
        <w:rPr>
          <w:rFonts w:ascii="Arial" w:hAnsi="Arial" w:cs="Arial"/>
        </w:rPr>
        <w:t xml:space="preserve">sino que se rompen las barreras que existen en cada dependencia y se gestiona de manera horizontal </w:t>
      </w:r>
      <w:r w:rsidR="00780B85" w:rsidRPr="00F10DBC">
        <w:rPr>
          <w:rFonts w:ascii="Arial" w:hAnsi="Arial" w:cs="Arial"/>
        </w:rPr>
        <w:t>unificando</w:t>
      </w:r>
      <w:r w:rsidR="000553C8" w:rsidRPr="00F10DBC">
        <w:rPr>
          <w:rFonts w:ascii="Arial" w:hAnsi="Arial" w:cs="Arial"/>
        </w:rPr>
        <w:t xml:space="preserve"> el enfoque </w:t>
      </w:r>
      <w:r w:rsidR="00414DCB" w:rsidRPr="00F10DBC">
        <w:rPr>
          <w:rFonts w:ascii="Arial" w:hAnsi="Arial" w:cs="Arial"/>
        </w:rPr>
        <w:t>hacia</w:t>
      </w:r>
      <w:r w:rsidR="00DF001D" w:rsidRPr="00F10DBC">
        <w:rPr>
          <w:rFonts w:ascii="Arial" w:hAnsi="Arial" w:cs="Arial"/>
        </w:rPr>
        <w:t xml:space="preserve"> </w:t>
      </w:r>
      <w:r w:rsidR="00414DCB" w:rsidRPr="00F10DBC">
        <w:rPr>
          <w:rFonts w:ascii="Arial" w:hAnsi="Arial" w:cs="Arial"/>
        </w:rPr>
        <w:t xml:space="preserve">el logro </w:t>
      </w:r>
      <w:r w:rsidR="00DF001D" w:rsidRPr="00F10DBC">
        <w:rPr>
          <w:rFonts w:ascii="Arial" w:hAnsi="Arial" w:cs="Arial"/>
        </w:rPr>
        <w:t xml:space="preserve">común </w:t>
      </w:r>
      <w:r w:rsidR="00414DCB" w:rsidRPr="00F10DBC">
        <w:rPr>
          <w:rFonts w:ascii="Arial" w:hAnsi="Arial" w:cs="Arial"/>
        </w:rPr>
        <w:t>de los objetivos institucionales</w:t>
      </w:r>
      <w:r w:rsidR="00DF001D" w:rsidRPr="00F10DBC">
        <w:rPr>
          <w:rFonts w:ascii="Arial" w:hAnsi="Arial" w:cs="Arial"/>
        </w:rPr>
        <w:t xml:space="preserve"> y la mejora en el desempeño</w:t>
      </w:r>
      <w:r w:rsidR="00414DCB" w:rsidRPr="00F10DBC">
        <w:rPr>
          <w:rFonts w:ascii="Arial" w:hAnsi="Arial" w:cs="Arial"/>
        </w:rPr>
        <w:t>.</w:t>
      </w:r>
    </w:p>
    <w:p w14:paraId="7B27E357" w14:textId="44498B99" w:rsidR="000553C8" w:rsidRPr="00F10DBC" w:rsidRDefault="000553C8" w:rsidP="007205B4">
      <w:pPr>
        <w:pStyle w:val="Sinespaciado"/>
        <w:jc w:val="both"/>
        <w:rPr>
          <w:rFonts w:ascii="Arial" w:hAnsi="Arial" w:cs="Arial"/>
        </w:rPr>
      </w:pPr>
    </w:p>
    <w:p w14:paraId="547D4452" w14:textId="4DE3AB5C" w:rsidR="000553C8" w:rsidRPr="00F10DBC" w:rsidRDefault="000553C8" w:rsidP="007205B4">
      <w:pPr>
        <w:pStyle w:val="Sinespaciado"/>
        <w:jc w:val="both"/>
        <w:rPr>
          <w:rFonts w:ascii="Arial" w:hAnsi="Arial" w:cs="Arial"/>
        </w:rPr>
      </w:pPr>
      <w:r w:rsidRPr="00F10DBC">
        <w:rPr>
          <w:rFonts w:ascii="Arial" w:hAnsi="Arial" w:cs="Arial"/>
        </w:rPr>
        <w:t xml:space="preserve">Es así como surge el concepto de mapa de procesos, que representa gráficamente los conjuntos de actividades </w:t>
      </w:r>
      <w:r w:rsidR="00C76018" w:rsidRPr="00F10DBC">
        <w:rPr>
          <w:rFonts w:ascii="Arial" w:hAnsi="Arial" w:cs="Arial"/>
        </w:rPr>
        <w:t>que se llevan a cabo en una entidad para el logro de su misión y objetivos.</w:t>
      </w:r>
    </w:p>
    <w:p w14:paraId="25971985" w14:textId="77777777" w:rsidR="00D11A1D" w:rsidRPr="00F10DBC" w:rsidRDefault="00D11A1D" w:rsidP="007205B4">
      <w:pPr>
        <w:pStyle w:val="Default"/>
        <w:jc w:val="both"/>
        <w:rPr>
          <w:bCs/>
          <w:color w:val="auto"/>
          <w:sz w:val="22"/>
          <w:szCs w:val="22"/>
        </w:rPr>
      </w:pPr>
    </w:p>
    <w:p w14:paraId="30BABAD7" w14:textId="5DB529CB" w:rsidR="00D11A1D" w:rsidRPr="00F10DBC" w:rsidRDefault="00C76018" w:rsidP="007205B4">
      <w:pPr>
        <w:pStyle w:val="Default"/>
        <w:jc w:val="both"/>
        <w:rPr>
          <w:color w:val="auto"/>
          <w:sz w:val="22"/>
          <w:szCs w:val="22"/>
        </w:rPr>
      </w:pPr>
      <w:r w:rsidRPr="00F10DBC">
        <w:rPr>
          <w:color w:val="auto"/>
          <w:sz w:val="22"/>
          <w:szCs w:val="22"/>
        </w:rPr>
        <w:t>En la Secretaría Distrital de Integración Social, d</w:t>
      </w:r>
      <w:r w:rsidR="00D11A1D" w:rsidRPr="00F10DBC">
        <w:rPr>
          <w:color w:val="auto"/>
          <w:sz w:val="22"/>
          <w:szCs w:val="22"/>
        </w:rPr>
        <w:t xml:space="preserve">urante las vigencias 2018 y 2019 se realizó la actualización del mapa de procesos cuyo último ajuste había sido efectuado en el año 2009. El nuevo mapa de procesos se encuentra alineado con las políticas de gestión y desempeño y con el componente ambiental del Modelo Integrado de Planeación y Gestión – MIPG, a través de los productos que se generan en cada proceso. </w:t>
      </w:r>
      <w:r w:rsidR="00717049" w:rsidRPr="00F10DBC">
        <w:rPr>
          <w:color w:val="auto"/>
          <w:sz w:val="22"/>
          <w:szCs w:val="22"/>
        </w:rPr>
        <w:t>El mapa de procesos representa</w:t>
      </w:r>
      <w:r w:rsidR="00D11A1D" w:rsidRPr="00F10DBC">
        <w:rPr>
          <w:color w:val="auto"/>
          <w:sz w:val="22"/>
          <w:szCs w:val="22"/>
        </w:rPr>
        <w:t xml:space="preserve"> </w:t>
      </w:r>
      <w:r w:rsidR="00780B85" w:rsidRPr="00F10DBC">
        <w:rPr>
          <w:color w:val="auto"/>
          <w:sz w:val="22"/>
          <w:szCs w:val="22"/>
        </w:rPr>
        <w:t>la forma de operación actual de la entidad</w:t>
      </w:r>
      <w:r w:rsidR="00717049" w:rsidRPr="00F10DBC">
        <w:rPr>
          <w:color w:val="auto"/>
          <w:sz w:val="22"/>
          <w:szCs w:val="22"/>
        </w:rPr>
        <w:t xml:space="preserve"> para el logro de su misión</w:t>
      </w:r>
      <w:r w:rsidR="00780B85" w:rsidRPr="00F10DBC">
        <w:rPr>
          <w:color w:val="auto"/>
          <w:sz w:val="22"/>
          <w:szCs w:val="22"/>
        </w:rPr>
        <w:t>.</w:t>
      </w:r>
    </w:p>
    <w:p w14:paraId="069E9470" w14:textId="77777777" w:rsidR="00D11A1D" w:rsidRPr="00F10DBC" w:rsidRDefault="00D11A1D" w:rsidP="007205B4">
      <w:pPr>
        <w:pStyle w:val="Default"/>
        <w:jc w:val="both"/>
        <w:rPr>
          <w:color w:val="auto"/>
          <w:sz w:val="22"/>
          <w:szCs w:val="22"/>
        </w:rPr>
      </w:pPr>
    </w:p>
    <w:p w14:paraId="0CB1475C" w14:textId="10CB3490" w:rsidR="00D11A1D" w:rsidRPr="00F10DBC" w:rsidRDefault="00D11A1D" w:rsidP="007205B4">
      <w:pPr>
        <w:pStyle w:val="Default"/>
        <w:jc w:val="both"/>
        <w:rPr>
          <w:color w:val="auto"/>
          <w:sz w:val="22"/>
          <w:szCs w:val="22"/>
        </w:rPr>
      </w:pPr>
      <w:r w:rsidRPr="00F10DBC">
        <w:rPr>
          <w:color w:val="auto"/>
          <w:sz w:val="22"/>
          <w:szCs w:val="22"/>
        </w:rPr>
        <w:t xml:space="preserve">La composición y representación gráfica del mapa de procesos </w:t>
      </w:r>
      <w:r w:rsidR="00BB6D44" w:rsidRPr="00F10DBC">
        <w:rPr>
          <w:color w:val="auto"/>
          <w:sz w:val="22"/>
          <w:szCs w:val="22"/>
        </w:rPr>
        <w:t xml:space="preserve">de la Secretaría Distrital de Integración Social </w:t>
      </w:r>
      <w:r w:rsidRPr="00F10DBC">
        <w:rPr>
          <w:color w:val="auto"/>
          <w:sz w:val="22"/>
          <w:szCs w:val="22"/>
        </w:rPr>
        <w:t>se relaciona a continuación:</w:t>
      </w:r>
    </w:p>
    <w:p w14:paraId="080B5085" w14:textId="77777777" w:rsidR="00D11A1D" w:rsidRPr="00F10DBC" w:rsidRDefault="00D11A1D" w:rsidP="00D11A1D">
      <w:pPr>
        <w:pStyle w:val="Default"/>
        <w:jc w:val="both"/>
        <w:rPr>
          <w:color w:val="auto"/>
          <w:sz w:val="22"/>
          <w:szCs w:val="22"/>
        </w:rPr>
      </w:pPr>
    </w:p>
    <w:p w14:paraId="4A680C5B" w14:textId="28BCD37A" w:rsidR="00BB6D44" w:rsidRDefault="00D11A1D" w:rsidP="007205B4">
      <w:pPr>
        <w:pStyle w:val="Default"/>
        <w:numPr>
          <w:ilvl w:val="0"/>
          <w:numId w:val="39"/>
        </w:numPr>
        <w:ind w:left="360"/>
        <w:jc w:val="both"/>
        <w:rPr>
          <w:color w:val="auto"/>
          <w:sz w:val="22"/>
          <w:szCs w:val="22"/>
        </w:rPr>
      </w:pPr>
      <w:r w:rsidRPr="00F10DBC">
        <w:rPr>
          <w:color w:val="auto"/>
          <w:sz w:val="22"/>
          <w:szCs w:val="22"/>
        </w:rPr>
        <w:t xml:space="preserve">Procesos de nivel </w:t>
      </w:r>
      <w:r w:rsidR="009A1155">
        <w:rPr>
          <w:color w:val="auto"/>
          <w:sz w:val="22"/>
          <w:szCs w:val="22"/>
        </w:rPr>
        <w:t>e</w:t>
      </w:r>
      <w:r w:rsidRPr="00F10DBC">
        <w:rPr>
          <w:color w:val="auto"/>
          <w:sz w:val="22"/>
          <w:szCs w:val="22"/>
        </w:rPr>
        <w:t>stratégico:</w:t>
      </w:r>
      <w:r w:rsidR="00717049" w:rsidRPr="00F10DBC">
        <w:rPr>
          <w:color w:val="auto"/>
          <w:sz w:val="22"/>
          <w:szCs w:val="22"/>
        </w:rPr>
        <w:t xml:space="preserve"> </w:t>
      </w:r>
      <w:r w:rsidR="00BB6D44" w:rsidRPr="00F10DBC">
        <w:rPr>
          <w:color w:val="auto"/>
          <w:sz w:val="22"/>
          <w:szCs w:val="22"/>
        </w:rPr>
        <w:t xml:space="preserve">son </w:t>
      </w:r>
      <w:r w:rsidR="00717049" w:rsidRPr="00F10DBC">
        <w:rPr>
          <w:color w:val="auto"/>
          <w:sz w:val="22"/>
          <w:szCs w:val="22"/>
        </w:rPr>
        <w:t xml:space="preserve">aquellos </w:t>
      </w:r>
      <w:r w:rsidR="00BB6D44" w:rsidRPr="00F10DBC">
        <w:rPr>
          <w:color w:val="auto"/>
          <w:sz w:val="22"/>
          <w:szCs w:val="22"/>
        </w:rPr>
        <w:t>en donde se toman las decisiones de planeación, estrategia y mejoras para la operación de la entidad.</w:t>
      </w:r>
    </w:p>
    <w:p w14:paraId="27005FE3"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Planeación estratégica</w:t>
      </w:r>
    </w:p>
    <w:p w14:paraId="546B5A69"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Comunicación estratégica</w:t>
      </w:r>
    </w:p>
    <w:p w14:paraId="35784AE8"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Tecnologías de la información</w:t>
      </w:r>
    </w:p>
    <w:p w14:paraId="62DE7B2C"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Gestión del conocimiento</w:t>
      </w:r>
    </w:p>
    <w:p w14:paraId="0C283F79" w14:textId="77777777" w:rsidR="00D11A1D" w:rsidRPr="00F10DBC" w:rsidRDefault="00D11A1D" w:rsidP="00D11A1D">
      <w:pPr>
        <w:pStyle w:val="Default"/>
        <w:jc w:val="both"/>
        <w:rPr>
          <w:color w:val="auto"/>
          <w:sz w:val="22"/>
          <w:szCs w:val="22"/>
        </w:rPr>
      </w:pPr>
    </w:p>
    <w:p w14:paraId="7F17BB6D" w14:textId="14783A57" w:rsidR="00D11A1D" w:rsidRDefault="00D11A1D" w:rsidP="007205B4">
      <w:pPr>
        <w:pStyle w:val="Default"/>
        <w:numPr>
          <w:ilvl w:val="0"/>
          <w:numId w:val="39"/>
        </w:numPr>
        <w:ind w:left="360"/>
        <w:jc w:val="both"/>
        <w:rPr>
          <w:color w:val="auto"/>
          <w:sz w:val="22"/>
          <w:szCs w:val="22"/>
        </w:rPr>
      </w:pPr>
      <w:r w:rsidRPr="00F10DBC">
        <w:rPr>
          <w:color w:val="auto"/>
          <w:sz w:val="22"/>
          <w:szCs w:val="22"/>
        </w:rPr>
        <w:t xml:space="preserve">Procesos de nivel </w:t>
      </w:r>
      <w:r w:rsidR="00DC6288">
        <w:rPr>
          <w:color w:val="auto"/>
          <w:sz w:val="22"/>
          <w:szCs w:val="22"/>
        </w:rPr>
        <w:t>m</w:t>
      </w:r>
      <w:r w:rsidR="00DC6288" w:rsidRPr="00F10DBC">
        <w:rPr>
          <w:color w:val="auto"/>
          <w:sz w:val="22"/>
          <w:szCs w:val="22"/>
        </w:rPr>
        <w:t>isional</w:t>
      </w:r>
      <w:r w:rsidRPr="00F10DBC">
        <w:rPr>
          <w:color w:val="auto"/>
          <w:sz w:val="22"/>
          <w:szCs w:val="22"/>
        </w:rPr>
        <w:t>:</w:t>
      </w:r>
      <w:r w:rsidR="008551B1" w:rsidRPr="00F10DBC">
        <w:rPr>
          <w:color w:val="auto"/>
          <w:sz w:val="22"/>
          <w:szCs w:val="22"/>
        </w:rPr>
        <w:t xml:space="preserve"> </w:t>
      </w:r>
      <w:r w:rsidR="00B36508" w:rsidRPr="00F10DBC">
        <w:rPr>
          <w:color w:val="auto"/>
          <w:sz w:val="22"/>
          <w:szCs w:val="22"/>
        </w:rPr>
        <w:t xml:space="preserve">son aquellos </w:t>
      </w:r>
      <w:r w:rsidR="006E666E" w:rsidRPr="00F10DBC">
        <w:rPr>
          <w:color w:val="auto"/>
          <w:sz w:val="22"/>
          <w:szCs w:val="22"/>
        </w:rPr>
        <w:t xml:space="preserve">donde se diseñan y ejecutan </w:t>
      </w:r>
      <w:r w:rsidR="00B36508" w:rsidRPr="00F10DBC">
        <w:rPr>
          <w:color w:val="auto"/>
          <w:sz w:val="22"/>
          <w:szCs w:val="22"/>
        </w:rPr>
        <w:t xml:space="preserve">los servicios </w:t>
      </w:r>
      <w:r w:rsidR="006E666E" w:rsidRPr="00F10DBC">
        <w:rPr>
          <w:color w:val="auto"/>
          <w:sz w:val="22"/>
          <w:szCs w:val="22"/>
        </w:rPr>
        <w:t xml:space="preserve">para atender </w:t>
      </w:r>
      <w:r w:rsidR="00B36508" w:rsidRPr="00F10DBC">
        <w:rPr>
          <w:color w:val="auto"/>
          <w:sz w:val="22"/>
          <w:szCs w:val="22"/>
        </w:rPr>
        <w:t>las necesidades de la población objeto de la entidad.</w:t>
      </w:r>
    </w:p>
    <w:p w14:paraId="4C7E46D3"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Formulación y articulación de las políticas sociales</w:t>
      </w:r>
    </w:p>
    <w:p w14:paraId="236FDACE"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Diseño e innovación de los servicios sociales</w:t>
      </w:r>
    </w:p>
    <w:p w14:paraId="1529D5A0"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Prestación de servicios sociales para la inclusión social</w:t>
      </w:r>
    </w:p>
    <w:p w14:paraId="00F504DD"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Atención a la ciudadanía</w:t>
      </w:r>
    </w:p>
    <w:p w14:paraId="52C84C6E" w14:textId="77777777" w:rsidR="00D11A1D" w:rsidRPr="00F10DBC" w:rsidRDefault="00D11A1D" w:rsidP="007205B4">
      <w:pPr>
        <w:pStyle w:val="Default"/>
        <w:jc w:val="both"/>
        <w:rPr>
          <w:color w:val="auto"/>
          <w:sz w:val="22"/>
          <w:szCs w:val="22"/>
        </w:rPr>
      </w:pPr>
    </w:p>
    <w:p w14:paraId="44CBB180" w14:textId="6362D5F9" w:rsidR="00CA3DBA" w:rsidRDefault="00D11A1D" w:rsidP="00CA3DBA">
      <w:pPr>
        <w:pStyle w:val="Default"/>
        <w:numPr>
          <w:ilvl w:val="0"/>
          <w:numId w:val="39"/>
        </w:numPr>
        <w:ind w:left="360"/>
        <w:jc w:val="both"/>
        <w:rPr>
          <w:color w:val="auto"/>
          <w:sz w:val="22"/>
          <w:szCs w:val="22"/>
        </w:rPr>
      </w:pPr>
      <w:r w:rsidRPr="00F10DBC">
        <w:rPr>
          <w:color w:val="auto"/>
          <w:sz w:val="22"/>
          <w:szCs w:val="22"/>
        </w:rPr>
        <w:lastRenderedPageBreak/>
        <w:t>Procesos de nivel</w:t>
      </w:r>
      <w:r w:rsidR="00CA3DBA">
        <w:rPr>
          <w:color w:val="auto"/>
          <w:sz w:val="22"/>
          <w:szCs w:val="22"/>
        </w:rPr>
        <w:t xml:space="preserve"> </w:t>
      </w:r>
      <w:r w:rsidR="00DC6288">
        <w:rPr>
          <w:color w:val="auto"/>
          <w:sz w:val="22"/>
          <w:szCs w:val="22"/>
        </w:rPr>
        <w:t>s</w:t>
      </w:r>
      <w:r w:rsidRPr="00F10DBC">
        <w:rPr>
          <w:color w:val="auto"/>
          <w:sz w:val="22"/>
          <w:szCs w:val="22"/>
        </w:rPr>
        <w:t>oporte:</w:t>
      </w:r>
      <w:r w:rsidR="006E666E" w:rsidRPr="00F10DBC">
        <w:rPr>
          <w:color w:val="auto"/>
          <w:sz w:val="22"/>
          <w:szCs w:val="22"/>
        </w:rPr>
        <w:t xml:space="preserve"> son aquellos en donde se gestionan los recursos y se generan los bienes y servicios necesarios para la operación de la entidad en cumplimiento de su misión</w:t>
      </w:r>
      <w:r w:rsidR="00CA3DBA">
        <w:rPr>
          <w:color w:val="auto"/>
          <w:sz w:val="22"/>
          <w:szCs w:val="22"/>
        </w:rPr>
        <w:t>.</w:t>
      </w:r>
    </w:p>
    <w:p w14:paraId="628C25B6"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Gestión de talento humano</w:t>
      </w:r>
    </w:p>
    <w:p w14:paraId="358F9EAB"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Gestión de soporte y mantenimiento tecnológico</w:t>
      </w:r>
    </w:p>
    <w:p w14:paraId="61C6E102"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Gestión contractual</w:t>
      </w:r>
    </w:p>
    <w:p w14:paraId="25B2F03B"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Gestión financiera</w:t>
      </w:r>
    </w:p>
    <w:p w14:paraId="5CB6CD7D"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Gestión de infraestructura física</w:t>
      </w:r>
    </w:p>
    <w:p w14:paraId="6BF62E3E"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Gestión ambiental</w:t>
      </w:r>
    </w:p>
    <w:p w14:paraId="5E58E7B3"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Gestión documental</w:t>
      </w:r>
    </w:p>
    <w:p w14:paraId="13BD9C84"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 xml:space="preserve">Gestión logística </w:t>
      </w:r>
    </w:p>
    <w:p w14:paraId="6C2A294D"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Gestión jurídica</w:t>
      </w:r>
    </w:p>
    <w:p w14:paraId="287F5567" w14:textId="77777777" w:rsidR="00D11A1D" w:rsidRPr="00F10DBC" w:rsidRDefault="00D11A1D" w:rsidP="007205B4">
      <w:pPr>
        <w:pStyle w:val="Default"/>
        <w:jc w:val="both"/>
        <w:rPr>
          <w:color w:val="auto"/>
          <w:sz w:val="22"/>
          <w:szCs w:val="22"/>
        </w:rPr>
      </w:pPr>
    </w:p>
    <w:p w14:paraId="37FC0F95" w14:textId="61B79E67" w:rsidR="00D11A1D" w:rsidRDefault="00D11A1D" w:rsidP="007205B4">
      <w:pPr>
        <w:pStyle w:val="Default"/>
        <w:numPr>
          <w:ilvl w:val="0"/>
          <w:numId w:val="39"/>
        </w:numPr>
        <w:ind w:left="360"/>
        <w:jc w:val="both"/>
        <w:rPr>
          <w:color w:val="auto"/>
          <w:sz w:val="22"/>
          <w:szCs w:val="22"/>
        </w:rPr>
      </w:pPr>
      <w:r w:rsidRPr="00F10DBC">
        <w:rPr>
          <w:color w:val="auto"/>
          <w:sz w:val="22"/>
          <w:szCs w:val="22"/>
        </w:rPr>
        <w:t xml:space="preserve">Procesos de nivel </w:t>
      </w:r>
      <w:r w:rsidR="00DC6288">
        <w:rPr>
          <w:color w:val="auto"/>
          <w:sz w:val="22"/>
          <w:szCs w:val="22"/>
        </w:rPr>
        <w:t>s</w:t>
      </w:r>
      <w:r w:rsidRPr="00F10DBC">
        <w:rPr>
          <w:color w:val="auto"/>
          <w:sz w:val="22"/>
          <w:szCs w:val="22"/>
        </w:rPr>
        <w:t>eguimiento, evaluación y mejora:</w:t>
      </w:r>
      <w:r w:rsidR="004137A1" w:rsidRPr="00F10DBC">
        <w:rPr>
          <w:color w:val="auto"/>
          <w:sz w:val="22"/>
          <w:szCs w:val="22"/>
        </w:rPr>
        <w:t xml:space="preserve"> </w:t>
      </w:r>
      <w:r w:rsidR="00CB7BD2" w:rsidRPr="00F10DBC">
        <w:rPr>
          <w:color w:val="auto"/>
          <w:sz w:val="22"/>
          <w:szCs w:val="22"/>
        </w:rPr>
        <w:t>son aquellos donde se establecen los lineamientos para realizar el monitoreo y evaluación al desempeño institucional y se identifican las oportunidades para la mejora continua.</w:t>
      </w:r>
    </w:p>
    <w:p w14:paraId="5BEEA5B0"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Gestión del sistema integrado – SIG</w:t>
      </w:r>
    </w:p>
    <w:p w14:paraId="6D57339E"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Auditoría y control</w:t>
      </w:r>
    </w:p>
    <w:p w14:paraId="456416B4" w14:textId="77777777" w:rsidR="00D11A1D" w:rsidRPr="00F10DBC" w:rsidRDefault="00D11A1D" w:rsidP="007205B4">
      <w:pPr>
        <w:pStyle w:val="Default"/>
        <w:numPr>
          <w:ilvl w:val="0"/>
          <w:numId w:val="36"/>
        </w:numPr>
        <w:ind w:left="708"/>
        <w:jc w:val="both"/>
        <w:rPr>
          <w:color w:val="auto"/>
          <w:sz w:val="22"/>
          <w:szCs w:val="22"/>
        </w:rPr>
      </w:pPr>
      <w:r w:rsidRPr="00F10DBC">
        <w:rPr>
          <w:color w:val="auto"/>
          <w:sz w:val="22"/>
          <w:szCs w:val="22"/>
        </w:rPr>
        <w:t xml:space="preserve">Inspección, vigilancia y control </w:t>
      </w:r>
    </w:p>
    <w:p w14:paraId="2D7E816A" w14:textId="77777777" w:rsidR="00D11A1D" w:rsidRPr="00F10DBC" w:rsidRDefault="00D11A1D" w:rsidP="0026044E">
      <w:pPr>
        <w:pStyle w:val="Sinespaciado"/>
        <w:rPr>
          <w:rFonts w:ascii="Arial" w:hAnsi="Arial" w:cs="Arial"/>
        </w:rPr>
      </w:pPr>
    </w:p>
    <w:p w14:paraId="693791B4" w14:textId="77777777" w:rsidR="00D11A1D" w:rsidRPr="00F10DBC" w:rsidRDefault="00D11A1D" w:rsidP="0026044E">
      <w:pPr>
        <w:pStyle w:val="Default"/>
        <w:jc w:val="center"/>
        <w:rPr>
          <w:color w:val="auto"/>
          <w:sz w:val="22"/>
          <w:szCs w:val="22"/>
        </w:rPr>
      </w:pPr>
      <w:r w:rsidRPr="00F10DBC">
        <w:rPr>
          <w:noProof/>
          <w:sz w:val="22"/>
          <w:szCs w:val="22"/>
          <w:lang w:val="es-CO" w:eastAsia="es-CO"/>
        </w:rPr>
        <w:drawing>
          <wp:inline distT="0" distB="0" distL="0" distR="0" wp14:anchorId="1403CDA9" wp14:editId="7C70C499">
            <wp:extent cx="5590336" cy="3019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a fondo blanco.pdf"/>
                    <pic:cNvPicPr/>
                  </pic:nvPicPr>
                  <pic:blipFill rotWithShape="1">
                    <a:blip r:embed="rId31"/>
                    <a:srcRect t="4813" b="5778"/>
                    <a:stretch/>
                  </pic:blipFill>
                  <pic:spPr bwMode="auto">
                    <a:xfrm>
                      <a:off x="0" y="0"/>
                      <a:ext cx="5598018" cy="3023574"/>
                    </a:xfrm>
                    <a:prstGeom prst="rect">
                      <a:avLst/>
                    </a:prstGeom>
                    <a:ln>
                      <a:noFill/>
                    </a:ln>
                    <a:extLst>
                      <a:ext uri="{53640926-AAD7-44D8-BBD7-CCE9431645EC}">
                        <a14:shadowObscured xmlns:a14="http://schemas.microsoft.com/office/drawing/2010/main"/>
                      </a:ext>
                    </a:extLst>
                  </pic:spPr>
                </pic:pic>
              </a:graphicData>
            </a:graphic>
          </wp:inline>
        </w:drawing>
      </w:r>
    </w:p>
    <w:p w14:paraId="350B77E8" w14:textId="5B60577B" w:rsidR="00D11A1D" w:rsidRDefault="00D11A1D" w:rsidP="00CA3DBA">
      <w:pPr>
        <w:pStyle w:val="Sinespaciado"/>
        <w:jc w:val="center"/>
        <w:rPr>
          <w:rFonts w:ascii="Arial" w:hAnsi="Arial" w:cs="Arial"/>
          <w:bCs/>
          <w:sz w:val="16"/>
          <w:szCs w:val="16"/>
        </w:rPr>
      </w:pPr>
      <w:r w:rsidRPr="00CA3DBA">
        <w:rPr>
          <w:rFonts w:ascii="Arial" w:hAnsi="Arial" w:cs="Arial"/>
          <w:bCs/>
          <w:sz w:val="16"/>
          <w:szCs w:val="16"/>
        </w:rPr>
        <w:t>Fuente: Acta del Consejo Directivo del 05/09/2018 y modificado por el Comité Institucional de Gestión y desempeño el 14/05/2019.</w:t>
      </w:r>
    </w:p>
    <w:p w14:paraId="1A08E4B9" w14:textId="77777777" w:rsidR="00DC6288" w:rsidRPr="00CA3DBA" w:rsidRDefault="00DC6288" w:rsidP="00CA3DBA">
      <w:pPr>
        <w:pStyle w:val="Sinespaciado"/>
        <w:jc w:val="center"/>
        <w:rPr>
          <w:rFonts w:ascii="Arial" w:hAnsi="Arial" w:cs="Arial"/>
          <w:sz w:val="16"/>
          <w:szCs w:val="16"/>
          <w:lang w:val="es-MX"/>
        </w:rPr>
      </w:pPr>
    </w:p>
    <w:p w14:paraId="28D98621" w14:textId="2977192A" w:rsidR="00244561" w:rsidRPr="00F10DBC" w:rsidRDefault="00244561" w:rsidP="007205B4">
      <w:pPr>
        <w:pStyle w:val="Sinespaciado"/>
        <w:jc w:val="both"/>
        <w:rPr>
          <w:rFonts w:ascii="Arial" w:hAnsi="Arial" w:cs="Arial"/>
        </w:rPr>
      </w:pPr>
      <w:r w:rsidRPr="00F10DBC">
        <w:rPr>
          <w:rFonts w:ascii="Arial" w:hAnsi="Arial" w:cs="Arial"/>
        </w:rPr>
        <w:t xml:space="preserve">A partir de la ejecución de las actividades de cada uno de los procesos y de acuerdo </w:t>
      </w:r>
      <w:r w:rsidR="008E32A3">
        <w:rPr>
          <w:rFonts w:ascii="Arial" w:hAnsi="Arial" w:cs="Arial"/>
        </w:rPr>
        <w:t>con</w:t>
      </w:r>
      <w:r w:rsidRPr="00F10DBC">
        <w:rPr>
          <w:rFonts w:ascii="Arial" w:hAnsi="Arial" w:cs="Arial"/>
        </w:rPr>
        <w:t xml:space="preserve"> los lineamientos del Modelo Integrado de Planeación y Gestión, existen tres </w:t>
      </w:r>
      <w:r w:rsidR="00DF50AE">
        <w:rPr>
          <w:rFonts w:ascii="Arial" w:hAnsi="Arial" w:cs="Arial"/>
        </w:rPr>
        <w:t>componentes</w:t>
      </w:r>
      <w:r w:rsidR="008E32A3">
        <w:rPr>
          <w:rFonts w:ascii="Arial" w:hAnsi="Arial" w:cs="Arial"/>
        </w:rPr>
        <w:t xml:space="preserve"> del si</w:t>
      </w:r>
      <w:r w:rsidR="00DF50AE">
        <w:rPr>
          <w:rFonts w:ascii="Arial" w:hAnsi="Arial" w:cs="Arial"/>
        </w:rPr>
        <w:t>s</w:t>
      </w:r>
      <w:r w:rsidR="008E32A3">
        <w:rPr>
          <w:rFonts w:ascii="Arial" w:hAnsi="Arial" w:cs="Arial"/>
        </w:rPr>
        <w:t>te</w:t>
      </w:r>
      <w:r w:rsidR="00DF50AE">
        <w:rPr>
          <w:rFonts w:ascii="Arial" w:hAnsi="Arial" w:cs="Arial"/>
        </w:rPr>
        <w:t>m</w:t>
      </w:r>
      <w:r w:rsidR="008E32A3">
        <w:rPr>
          <w:rFonts w:ascii="Arial" w:hAnsi="Arial" w:cs="Arial"/>
        </w:rPr>
        <w:t xml:space="preserve">a de gestión </w:t>
      </w:r>
      <w:r w:rsidRPr="00F10DBC">
        <w:rPr>
          <w:rFonts w:ascii="Arial" w:hAnsi="Arial" w:cs="Arial"/>
        </w:rPr>
        <w:t xml:space="preserve"> que son </w:t>
      </w:r>
      <w:r w:rsidR="00047BB9" w:rsidRPr="00F10DBC">
        <w:rPr>
          <w:rFonts w:ascii="Arial" w:hAnsi="Arial" w:cs="Arial"/>
        </w:rPr>
        <w:t>administrados</w:t>
      </w:r>
      <w:r w:rsidRPr="00F10DBC">
        <w:rPr>
          <w:rFonts w:ascii="Arial" w:hAnsi="Arial" w:cs="Arial"/>
        </w:rPr>
        <w:t xml:space="preserve"> por los gestores de proceso, de dependencia y el equipo de gestores de la DADE</w:t>
      </w:r>
      <w:r w:rsidR="00047BB9" w:rsidRPr="00F10DBC">
        <w:rPr>
          <w:rFonts w:ascii="Arial" w:hAnsi="Arial" w:cs="Arial"/>
        </w:rPr>
        <w:t>,</w:t>
      </w:r>
      <w:r w:rsidRPr="00F10DBC">
        <w:rPr>
          <w:rFonts w:ascii="Arial" w:hAnsi="Arial" w:cs="Arial"/>
        </w:rPr>
        <w:t xml:space="preserve"> que permiten estandarizar la operación de la entidad, medir el desempeño de la gestión</w:t>
      </w:r>
      <w:r w:rsidR="00047BB9" w:rsidRPr="00F10DBC">
        <w:rPr>
          <w:rFonts w:ascii="Arial" w:hAnsi="Arial" w:cs="Arial"/>
        </w:rPr>
        <w:t xml:space="preserve"> e </w:t>
      </w:r>
      <w:r w:rsidRPr="00F10DBC">
        <w:rPr>
          <w:rFonts w:ascii="Arial" w:hAnsi="Arial" w:cs="Arial"/>
        </w:rPr>
        <w:t>identifica</w:t>
      </w:r>
      <w:r w:rsidR="00047BB9" w:rsidRPr="00F10DBC">
        <w:rPr>
          <w:rFonts w:ascii="Arial" w:hAnsi="Arial" w:cs="Arial"/>
        </w:rPr>
        <w:t>r</w:t>
      </w:r>
      <w:r w:rsidRPr="00F10DBC">
        <w:rPr>
          <w:rFonts w:ascii="Arial" w:hAnsi="Arial" w:cs="Arial"/>
        </w:rPr>
        <w:t xml:space="preserve"> acciones de mejora</w:t>
      </w:r>
      <w:r w:rsidR="00047BB9" w:rsidRPr="00F10DBC">
        <w:rPr>
          <w:rFonts w:ascii="Arial" w:hAnsi="Arial" w:cs="Arial"/>
        </w:rPr>
        <w:t xml:space="preserve"> y </w:t>
      </w:r>
      <w:r w:rsidRPr="00F10DBC">
        <w:rPr>
          <w:rFonts w:ascii="Arial" w:hAnsi="Arial" w:cs="Arial"/>
        </w:rPr>
        <w:t xml:space="preserve">los posibles eventos </w:t>
      </w:r>
      <w:r w:rsidRPr="00F10DBC">
        <w:rPr>
          <w:rFonts w:ascii="Arial" w:hAnsi="Arial" w:cs="Arial"/>
        </w:rPr>
        <w:lastRenderedPageBreak/>
        <w:t>que puedan impedir el logro de sus objetivos y por ende los institucionales. Estos son: control de documentos, formulación y seguimiento de indicadores de gest</w:t>
      </w:r>
      <w:r w:rsidR="009D7895">
        <w:rPr>
          <w:rFonts w:ascii="Arial" w:hAnsi="Arial" w:cs="Arial"/>
        </w:rPr>
        <w:t>i</w:t>
      </w:r>
      <w:r w:rsidRPr="00F10DBC">
        <w:rPr>
          <w:rFonts w:ascii="Arial" w:hAnsi="Arial" w:cs="Arial"/>
        </w:rPr>
        <w:t>ón</w:t>
      </w:r>
      <w:r w:rsidR="009D7895">
        <w:rPr>
          <w:rFonts w:ascii="Arial" w:hAnsi="Arial" w:cs="Arial"/>
        </w:rPr>
        <w:t>,</w:t>
      </w:r>
      <w:r w:rsidRPr="00F10DBC">
        <w:rPr>
          <w:rFonts w:ascii="Arial" w:hAnsi="Arial" w:cs="Arial"/>
        </w:rPr>
        <w:t xml:space="preserve"> y administración de riesgos.</w:t>
      </w:r>
    </w:p>
    <w:p w14:paraId="21FED0BA" w14:textId="479A2D3C" w:rsidR="00047BB9" w:rsidRPr="00F10DBC" w:rsidRDefault="00047BB9" w:rsidP="007205B4">
      <w:pPr>
        <w:pStyle w:val="Sinespaciado"/>
        <w:jc w:val="both"/>
        <w:rPr>
          <w:rFonts w:ascii="Arial" w:hAnsi="Arial" w:cs="Arial"/>
        </w:rPr>
      </w:pPr>
    </w:p>
    <w:p w14:paraId="00C64372" w14:textId="40CB8D62" w:rsidR="00047BB9" w:rsidRPr="00F10DBC" w:rsidRDefault="00047BB9" w:rsidP="007205B4">
      <w:pPr>
        <w:pStyle w:val="Sinespaciado"/>
        <w:jc w:val="both"/>
        <w:rPr>
          <w:rFonts w:ascii="Arial" w:hAnsi="Arial" w:cs="Arial"/>
        </w:rPr>
      </w:pPr>
      <w:r w:rsidRPr="00F10DBC">
        <w:rPr>
          <w:rFonts w:ascii="Arial" w:hAnsi="Arial" w:cs="Arial"/>
        </w:rPr>
        <w:t xml:space="preserve">A </w:t>
      </w:r>
      <w:r w:rsidR="009D7895" w:rsidRPr="00F10DBC">
        <w:rPr>
          <w:rFonts w:ascii="Arial" w:hAnsi="Arial" w:cs="Arial"/>
        </w:rPr>
        <w:t>continuación,</w:t>
      </w:r>
      <w:r w:rsidRPr="00F10DBC">
        <w:rPr>
          <w:rFonts w:ascii="Arial" w:hAnsi="Arial" w:cs="Arial"/>
        </w:rPr>
        <w:t xml:space="preserve"> se presenta </w:t>
      </w:r>
      <w:r w:rsidR="009D7895">
        <w:rPr>
          <w:rFonts w:ascii="Arial" w:hAnsi="Arial" w:cs="Arial"/>
        </w:rPr>
        <w:t xml:space="preserve">la descripción de cada </w:t>
      </w:r>
      <w:r w:rsidRPr="00F10DBC">
        <w:rPr>
          <w:rFonts w:ascii="Arial" w:hAnsi="Arial" w:cs="Arial"/>
        </w:rPr>
        <w:t xml:space="preserve">uno de los elementos </w:t>
      </w:r>
      <w:r w:rsidR="009D7895">
        <w:rPr>
          <w:rFonts w:ascii="Arial" w:hAnsi="Arial" w:cs="Arial"/>
        </w:rPr>
        <w:t xml:space="preserve">mencionados, cuyas actividades están contenidas en el plan de acción del sistema de gestión, con un horizonte de desarrollo e implementación a 4 años, conforme a la vigencia del plan de desarrollo actual. </w:t>
      </w:r>
    </w:p>
    <w:p w14:paraId="395DBFEC" w14:textId="5C989A6C" w:rsidR="00047BB9" w:rsidRDefault="00047BB9" w:rsidP="005A4432">
      <w:pPr>
        <w:pStyle w:val="Sinespaciado"/>
        <w:rPr>
          <w:sz w:val="24"/>
          <w:szCs w:val="24"/>
        </w:rPr>
      </w:pPr>
    </w:p>
    <w:p w14:paraId="3A8A270B" w14:textId="6C4BA4FD" w:rsidR="00D11A1D" w:rsidRPr="00813077" w:rsidRDefault="003C4CBE" w:rsidP="005A4432">
      <w:pPr>
        <w:pStyle w:val="Sinespaciado"/>
        <w:rPr>
          <w:rFonts w:ascii="Arial" w:hAnsi="Arial" w:cs="Arial"/>
          <w:b/>
        </w:rPr>
      </w:pPr>
      <w:r>
        <w:rPr>
          <w:rFonts w:ascii="Arial" w:hAnsi="Arial" w:cs="Arial"/>
          <w:b/>
        </w:rPr>
        <w:t xml:space="preserve">2.4.2.1 </w:t>
      </w:r>
      <w:r w:rsidR="00555058" w:rsidRPr="00813077">
        <w:rPr>
          <w:rFonts w:ascii="Arial" w:hAnsi="Arial" w:cs="Arial"/>
          <w:b/>
        </w:rPr>
        <w:t xml:space="preserve">Elementos </w:t>
      </w:r>
      <w:r w:rsidR="00555058">
        <w:rPr>
          <w:rFonts w:ascii="Arial" w:hAnsi="Arial" w:cs="Arial"/>
          <w:b/>
        </w:rPr>
        <w:t>d</w:t>
      </w:r>
      <w:r w:rsidR="00555058" w:rsidRPr="00813077">
        <w:rPr>
          <w:rFonts w:ascii="Arial" w:hAnsi="Arial" w:cs="Arial"/>
          <w:b/>
        </w:rPr>
        <w:t xml:space="preserve">el Sistema </w:t>
      </w:r>
      <w:r w:rsidR="00555058">
        <w:rPr>
          <w:rFonts w:ascii="Arial" w:hAnsi="Arial" w:cs="Arial"/>
          <w:b/>
        </w:rPr>
        <w:t>d</w:t>
      </w:r>
      <w:r w:rsidR="00555058" w:rsidRPr="00813077">
        <w:rPr>
          <w:rFonts w:ascii="Arial" w:hAnsi="Arial" w:cs="Arial"/>
          <w:b/>
        </w:rPr>
        <w:t>e Gestión</w:t>
      </w:r>
    </w:p>
    <w:p w14:paraId="65A5EAAB" w14:textId="29287E96" w:rsidR="006C69EC" w:rsidRPr="00813077" w:rsidRDefault="006C69EC" w:rsidP="005A4432">
      <w:pPr>
        <w:pStyle w:val="Sinespaciado"/>
        <w:rPr>
          <w:rFonts w:ascii="Arial" w:hAnsi="Arial" w:cs="Arial"/>
        </w:rPr>
      </w:pPr>
    </w:p>
    <w:p w14:paraId="591DCBFC" w14:textId="3ADF185C" w:rsidR="00D11A1D" w:rsidRPr="00813077" w:rsidRDefault="006C69EC" w:rsidP="005A4432">
      <w:pPr>
        <w:pStyle w:val="Sinespaciado"/>
        <w:rPr>
          <w:rFonts w:ascii="Arial" w:hAnsi="Arial" w:cs="Arial"/>
          <w:b/>
        </w:rPr>
      </w:pPr>
      <w:r w:rsidRPr="00813077">
        <w:rPr>
          <w:rFonts w:ascii="Arial" w:hAnsi="Arial" w:cs="Arial"/>
          <w:b/>
        </w:rPr>
        <w:t>Control de documentos</w:t>
      </w:r>
    </w:p>
    <w:p w14:paraId="173FB872" w14:textId="77777777" w:rsidR="007205B4" w:rsidRPr="00813077" w:rsidRDefault="007205B4" w:rsidP="007205B4">
      <w:pPr>
        <w:pStyle w:val="Sinespaciado"/>
        <w:jc w:val="both"/>
        <w:rPr>
          <w:rFonts w:ascii="Arial" w:hAnsi="Arial" w:cs="Arial"/>
        </w:rPr>
      </w:pPr>
    </w:p>
    <w:p w14:paraId="1BDDDDDB" w14:textId="78E87B5D" w:rsidR="007205B4" w:rsidRPr="00813077" w:rsidRDefault="007205B4" w:rsidP="007205B4">
      <w:pPr>
        <w:pStyle w:val="Sinespaciado"/>
        <w:jc w:val="both"/>
        <w:rPr>
          <w:rFonts w:ascii="Arial" w:hAnsi="Arial" w:cs="Arial"/>
        </w:rPr>
      </w:pPr>
      <w:r w:rsidRPr="00813077">
        <w:rPr>
          <w:rFonts w:ascii="Arial" w:hAnsi="Arial" w:cs="Arial"/>
        </w:rPr>
        <w:t>Conforme a la estructura institucional, orientada a un enfoque basado en procesos, la entidad documenta su gestión,</w:t>
      </w:r>
      <w:r w:rsidR="00813077">
        <w:rPr>
          <w:rFonts w:ascii="Arial" w:hAnsi="Arial" w:cs="Arial"/>
        </w:rPr>
        <w:t xml:space="preserve"> </w:t>
      </w:r>
      <w:r w:rsidR="00813077" w:rsidRPr="00813077">
        <w:rPr>
          <w:rFonts w:ascii="Arial" w:hAnsi="Arial" w:cs="Arial"/>
        </w:rPr>
        <w:t xml:space="preserve">funciones </w:t>
      </w:r>
      <w:r w:rsidR="00813077">
        <w:rPr>
          <w:rFonts w:ascii="Arial" w:hAnsi="Arial" w:cs="Arial"/>
        </w:rPr>
        <w:t xml:space="preserve">y </w:t>
      </w:r>
      <w:r w:rsidRPr="00813077">
        <w:rPr>
          <w:rFonts w:ascii="Arial" w:hAnsi="Arial" w:cs="Arial"/>
        </w:rPr>
        <w:t>operación a partir de caracterizaciones de proceso, procedimientos y documentos asociados, tales como protocolos, instructivos, planes, programas y formatos, cuya creación, actualización y derogación es centralizada  por la Subdirección de Diseño, evaluación y sistematización en atención de las necesidades de las dependencias y procesos, a través de los lineamientos establecidos en el procedimiento Control de documentos (PCD-GS-003) y su respectiva publicación en el módulo web del Sistema de gestión.</w:t>
      </w:r>
    </w:p>
    <w:p w14:paraId="7772DB43" w14:textId="77777777" w:rsidR="007205B4" w:rsidRPr="00813077" w:rsidRDefault="007205B4" w:rsidP="007205B4">
      <w:pPr>
        <w:pStyle w:val="Sinespaciado"/>
        <w:jc w:val="both"/>
        <w:rPr>
          <w:rFonts w:ascii="Arial" w:hAnsi="Arial" w:cs="Arial"/>
        </w:rPr>
      </w:pPr>
    </w:p>
    <w:p w14:paraId="2994EACF" w14:textId="1737F4AD" w:rsidR="007205B4" w:rsidRPr="00813077" w:rsidRDefault="007205B4" w:rsidP="007205B4">
      <w:pPr>
        <w:pStyle w:val="Sinespaciado"/>
        <w:jc w:val="both"/>
        <w:rPr>
          <w:rFonts w:ascii="Arial" w:hAnsi="Arial" w:cs="Arial"/>
        </w:rPr>
      </w:pPr>
      <w:r w:rsidRPr="00813077">
        <w:rPr>
          <w:rFonts w:ascii="Arial" w:hAnsi="Arial" w:cs="Arial"/>
        </w:rPr>
        <w:t xml:space="preserve">De esta forma, la trazabilidad de los documentos oficiales de la entidad se registra en el Listado maestro documentos, indicando los tipos de documentos existentes, versiones vigentes, cambios realizados, así como los documentos obsoletos. </w:t>
      </w:r>
    </w:p>
    <w:p w14:paraId="5100CF48" w14:textId="77777777" w:rsidR="007205B4" w:rsidRPr="00813077" w:rsidRDefault="007205B4" w:rsidP="007205B4">
      <w:pPr>
        <w:pStyle w:val="Sinespaciado"/>
        <w:jc w:val="both"/>
        <w:rPr>
          <w:rFonts w:ascii="Arial" w:hAnsi="Arial" w:cs="Arial"/>
        </w:rPr>
      </w:pPr>
    </w:p>
    <w:p w14:paraId="271CCCF5" w14:textId="5C44B34D" w:rsidR="007205B4" w:rsidRPr="00813077" w:rsidRDefault="00813077" w:rsidP="007205B4">
      <w:pPr>
        <w:pStyle w:val="Sinespaciado"/>
        <w:jc w:val="both"/>
        <w:rPr>
          <w:rFonts w:ascii="Arial" w:hAnsi="Arial" w:cs="Arial"/>
        </w:rPr>
      </w:pPr>
      <w:r>
        <w:rPr>
          <w:rFonts w:ascii="Arial" w:hAnsi="Arial" w:cs="Arial"/>
        </w:rPr>
        <w:t>Las principales actividades desarrolladas para este elemento están asociadas con la d</w:t>
      </w:r>
      <w:r w:rsidR="007205B4" w:rsidRPr="00813077">
        <w:rPr>
          <w:rFonts w:ascii="Arial" w:hAnsi="Arial" w:cs="Arial"/>
        </w:rPr>
        <w:t xml:space="preserve">ocumentación de la operación institucional actualizada, vigente y apropiada por los servidores de la </w:t>
      </w:r>
      <w:r w:rsidR="00DC6288">
        <w:rPr>
          <w:rFonts w:ascii="Arial" w:hAnsi="Arial" w:cs="Arial"/>
        </w:rPr>
        <w:t>e</w:t>
      </w:r>
      <w:r w:rsidR="007205B4" w:rsidRPr="00813077">
        <w:rPr>
          <w:rFonts w:ascii="Arial" w:hAnsi="Arial" w:cs="Arial"/>
        </w:rPr>
        <w:t>ntidad, en cumplimiento de los lineamientos estandarizados en el procedimiento Control de documentos.</w:t>
      </w:r>
    </w:p>
    <w:p w14:paraId="16EF97A4" w14:textId="77777777" w:rsidR="007205B4" w:rsidRPr="007205B4" w:rsidRDefault="007205B4" w:rsidP="007205B4">
      <w:pPr>
        <w:pStyle w:val="Sinespaciado"/>
        <w:jc w:val="both"/>
        <w:rPr>
          <w:sz w:val="24"/>
          <w:szCs w:val="24"/>
        </w:rPr>
      </w:pPr>
    </w:p>
    <w:p w14:paraId="341F8471" w14:textId="589BDE2E" w:rsidR="00735041" w:rsidRPr="00813077" w:rsidRDefault="00735041" w:rsidP="00735041">
      <w:pPr>
        <w:pStyle w:val="Sinespaciado"/>
        <w:rPr>
          <w:rFonts w:ascii="Arial" w:hAnsi="Arial" w:cs="Arial"/>
          <w:b/>
        </w:rPr>
      </w:pPr>
      <w:r w:rsidRPr="00813077">
        <w:rPr>
          <w:rFonts w:ascii="Arial" w:hAnsi="Arial" w:cs="Arial"/>
          <w:b/>
        </w:rPr>
        <w:t>Indicadores de gestión</w:t>
      </w:r>
    </w:p>
    <w:p w14:paraId="4667A814" w14:textId="77777777" w:rsidR="00813077" w:rsidRPr="00813077" w:rsidRDefault="00813077" w:rsidP="00D47EC7">
      <w:pPr>
        <w:pStyle w:val="Sinespaciado"/>
        <w:jc w:val="both"/>
        <w:rPr>
          <w:rFonts w:ascii="Arial" w:hAnsi="Arial" w:cs="Arial"/>
        </w:rPr>
      </w:pPr>
    </w:p>
    <w:p w14:paraId="47226004" w14:textId="0D330F81" w:rsidR="00D47EC7" w:rsidRDefault="00D47EC7" w:rsidP="00D47EC7">
      <w:pPr>
        <w:pStyle w:val="Sinespaciado"/>
        <w:jc w:val="both"/>
        <w:rPr>
          <w:rFonts w:ascii="Arial" w:hAnsi="Arial" w:cs="Arial"/>
        </w:rPr>
      </w:pPr>
      <w:r w:rsidRPr="00813077">
        <w:rPr>
          <w:rFonts w:ascii="Arial" w:hAnsi="Arial" w:cs="Arial"/>
        </w:rPr>
        <w:t>Los indicadores de gestión son la herramienta que emplea la entidad para medir el desempeño de los procesos institucionales y su aporte al logro de los objetivos estratégicos, a la vez suministran información apropiada para la toma de decisiones estratégicas institucionales.</w:t>
      </w:r>
    </w:p>
    <w:p w14:paraId="7AE68D52" w14:textId="77777777" w:rsidR="00DC6288" w:rsidRPr="00813077" w:rsidRDefault="00DC6288" w:rsidP="00D47EC7">
      <w:pPr>
        <w:pStyle w:val="Sinespaciado"/>
        <w:jc w:val="both"/>
        <w:rPr>
          <w:rFonts w:ascii="Arial" w:hAnsi="Arial" w:cs="Arial"/>
        </w:rPr>
      </w:pPr>
    </w:p>
    <w:p w14:paraId="6302EAC1" w14:textId="7D6D8B52" w:rsidR="00813077" w:rsidRDefault="00D47EC7" w:rsidP="00813077">
      <w:pPr>
        <w:pStyle w:val="Sinespaciado"/>
        <w:jc w:val="both"/>
        <w:rPr>
          <w:rFonts w:ascii="Arial" w:hAnsi="Arial" w:cs="Arial"/>
        </w:rPr>
      </w:pPr>
      <w:r w:rsidRPr="00813077">
        <w:rPr>
          <w:rFonts w:ascii="Arial" w:hAnsi="Arial" w:cs="Arial"/>
        </w:rPr>
        <w:t xml:space="preserve">Con base en lo establecido en el procedimiento Formulación y seguimiento de indicadores de gestión (PCD-GS-001) los procesos institucionales realizan la formulación de sus indicadores de gestión, con el acompañamiento y asesoría técnica y metodológica de la Subdirección de Diseño, Evaluación y Sistematización. De acuerdo con lo estipulado en el formato Formulación y seguimiento de indicadores de gestión (FOR-GS-001), </w:t>
      </w:r>
      <w:r w:rsidR="00813077">
        <w:rPr>
          <w:rFonts w:ascii="Arial" w:hAnsi="Arial" w:cs="Arial"/>
        </w:rPr>
        <w:t>dicha</w:t>
      </w:r>
      <w:r w:rsidRPr="00813077">
        <w:rPr>
          <w:rFonts w:ascii="Arial" w:hAnsi="Arial" w:cs="Arial"/>
        </w:rPr>
        <w:t xml:space="preserve"> Subdirección, realiza el seguimiento mensual a los indicadores vigentes, publicación trimestral en el mapa de procesos y suministra un insumo para el seguimiento del Plan de Acción Institucional. Es allí donde se identifica el aporte de los procesos al logro de los </w:t>
      </w:r>
      <w:r w:rsidRPr="00813077">
        <w:rPr>
          <w:rFonts w:ascii="Arial" w:hAnsi="Arial" w:cs="Arial"/>
        </w:rPr>
        <w:lastRenderedPageBreak/>
        <w:t>objetivos estratégicos y al cumplimiento de la misión de la entidad, a través del cumplimiento de sus logros y uso eficiente de los recursos, así mismo, permite identificar e implementar acciones correctivas o preventivas que aportan a la mejora continua institucional.</w:t>
      </w:r>
    </w:p>
    <w:p w14:paraId="6E86BAD4" w14:textId="41BA428A" w:rsidR="00813077" w:rsidRDefault="00813077" w:rsidP="00813077">
      <w:pPr>
        <w:pStyle w:val="Sinespaciado"/>
        <w:jc w:val="both"/>
        <w:rPr>
          <w:rFonts w:ascii="Arial" w:hAnsi="Arial" w:cs="Arial"/>
        </w:rPr>
      </w:pPr>
    </w:p>
    <w:p w14:paraId="6B271764" w14:textId="44D4D04F" w:rsidR="00CA6594" w:rsidRDefault="00813077" w:rsidP="00813077">
      <w:pPr>
        <w:pStyle w:val="Sinespaciado"/>
        <w:jc w:val="both"/>
        <w:rPr>
          <w:rFonts w:ascii="Arial" w:hAnsi="Arial" w:cs="Arial"/>
        </w:rPr>
      </w:pPr>
      <w:r>
        <w:rPr>
          <w:rFonts w:ascii="Arial" w:hAnsi="Arial" w:cs="Arial"/>
        </w:rPr>
        <w:t xml:space="preserve">Las principales actividades desarrolladas para este elemento están asociadas con el acompañamiento técnico y metodológico para la formulación, seguimiento y publicación de indicadores de gestión de los procesos institucionales y proyectos de inversión de la entidad, asegurando la generación de información </w:t>
      </w:r>
      <w:r w:rsidR="008A79FC" w:rsidRPr="00813077">
        <w:rPr>
          <w:rFonts w:ascii="Arial" w:hAnsi="Arial" w:cs="Arial"/>
        </w:rPr>
        <w:t xml:space="preserve">confiable para la toma de decisiones y la implementación de </w:t>
      </w:r>
      <w:r w:rsidR="0069794C" w:rsidRPr="00813077">
        <w:rPr>
          <w:rFonts w:ascii="Arial" w:hAnsi="Arial" w:cs="Arial"/>
        </w:rPr>
        <w:t xml:space="preserve">acciones correctivas o preventivas </w:t>
      </w:r>
      <w:r>
        <w:rPr>
          <w:rFonts w:ascii="Arial" w:hAnsi="Arial" w:cs="Arial"/>
        </w:rPr>
        <w:t>que sean pertinentes.</w:t>
      </w:r>
    </w:p>
    <w:p w14:paraId="33484124" w14:textId="77777777" w:rsidR="00502252" w:rsidRPr="001F2864" w:rsidRDefault="00502252" w:rsidP="00813077">
      <w:pPr>
        <w:pStyle w:val="Sinespaciado"/>
        <w:jc w:val="both"/>
        <w:rPr>
          <w:rFonts w:ascii="Arial" w:hAnsi="Arial" w:cs="Arial"/>
        </w:rPr>
      </w:pPr>
    </w:p>
    <w:p w14:paraId="0D9230EC" w14:textId="7DF17AC0" w:rsidR="00735041" w:rsidRPr="002A3770" w:rsidRDefault="00735041" w:rsidP="005A4432">
      <w:pPr>
        <w:pStyle w:val="Sinespaciado"/>
        <w:rPr>
          <w:rFonts w:ascii="Arial" w:hAnsi="Arial" w:cs="Arial"/>
          <w:b/>
        </w:rPr>
      </w:pPr>
      <w:r w:rsidRPr="002A3770">
        <w:rPr>
          <w:rFonts w:ascii="Arial" w:hAnsi="Arial" w:cs="Arial"/>
          <w:b/>
        </w:rPr>
        <w:t>Administración de riesgos</w:t>
      </w:r>
    </w:p>
    <w:p w14:paraId="0898217F" w14:textId="77777777" w:rsidR="00FC6F53" w:rsidRPr="002A3770" w:rsidRDefault="00FC6F53" w:rsidP="00D93DAA">
      <w:pPr>
        <w:pStyle w:val="Sinespaciado"/>
        <w:rPr>
          <w:rFonts w:ascii="Arial" w:hAnsi="Arial" w:cs="Arial"/>
        </w:rPr>
      </w:pPr>
    </w:p>
    <w:p w14:paraId="29FD8573" w14:textId="12D4CBB9" w:rsidR="00D93DAA" w:rsidRPr="002A3770" w:rsidRDefault="00D93DAA" w:rsidP="00DF4F6C">
      <w:pPr>
        <w:pStyle w:val="Sinespaciado"/>
        <w:jc w:val="both"/>
        <w:rPr>
          <w:rFonts w:ascii="Arial" w:hAnsi="Arial" w:cs="Arial"/>
        </w:rPr>
      </w:pPr>
      <w:r w:rsidRPr="002A3770">
        <w:rPr>
          <w:rFonts w:ascii="Arial" w:hAnsi="Arial" w:cs="Arial"/>
        </w:rPr>
        <w:t>La administración de riesgos se implementa en la Secretaría Distrital de Integración Social con el propósito de garantizar el cumplimiento de la misión y los objetivos institucionales, a través de la identificación y el adecuado tratamiento de los riesgos asociados a los 20 procesos de la entidad.</w:t>
      </w:r>
    </w:p>
    <w:p w14:paraId="7DF54BCA" w14:textId="77777777" w:rsidR="00D93DAA" w:rsidRPr="002A3770" w:rsidRDefault="00D93DAA" w:rsidP="00D93DAA">
      <w:pPr>
        <w:pStyle w:val="Sinespaciado"/>
        <w:rPr>
          <w:rFonts w:ascii="Arial" w:hAnsi="Arial" w:cs="Arial"/>
        </w:rPr>
      </w:pPr>
    </w:p>
    <w:p w14:paraId="46697B5E" w14:textId="77777777" w:rsidR="00D93DAA" w:rsidRPr="002A3770" w:rsidRDefault="00D93DAA" w:rsidP="00DF4F6C">
      <w:pPr>
        <w:pStyle w:val="Sinespaciado"/>
        <w:jc w:val="both"/>
        <w:rPr>
          <w:rFonts w:ascii="Arial" w:hAnsi="Arial" w:cs="Arial"/>
        </w:rPr>
      </w:pPr>
      <w:r w:rsidRPr="002A3770">
        <w:rPr>
          <w:rFonts w:ascii="Arial" w:hAnsi="Arial" w:cs="Arial"/>
        </w:rPr>
        <w:t>Los riesgos en la entidad se administran bajo el modelo de líneas de defensa, el cual asigna responsabilidades en un nivel estratégico y tres niveles operativos que interactúan en torno a la identificación, el análisis, la evaluación, el monitoreo y revisión, y el seguimiento a los riesgos, teniendo como base el contexto estratégico a partir del cual se define la ruta que debe seguir la entidad para lograr sus metas y resultados.</w:t>
      </w:r>
    </w:p>
    <w:p w14:paraId="57AEB012" w14:textId="77777777" w:rsidR="00D93DAA" w:rsidRPr="002A3770" w:rsidRDefault="00D93DAA" w:rsidP="00D93DAA">
      <w:pPr>
        <w:pStyle w:val="Sinespaciado"/>
        <w:rPr>
          <w:rFonts w:ascii="Arial" w:hAnsi="Arial" w:cs="Arial"/>
        </w:rPr>
      </w:pPr>
    </w:p>
    <w:p w14:paraId="22F66B32" w14:textId="63A58418" w:rsidR="00735041" w:rsidRPr="002A3770" w:rsidRDefault="00D93DAA" w:rsidP="00DF4F6C">
      <w:pPr>
        <w:pStyle w:val="Sinespaciado"/>
        <w:jc w:val="both"/>
        <w:rPr>
          <w:rFonts w:ascii="Arial" w:hAnsi="Arial" w:cs="Arial"/>
        </w:rPr>
      </w:pPr>
      <w:r w:rsidRPr="002A3770">
        <w:rPr>
          <w:rFonts w:ascii="Arial" w:hAnsi="Arial" w:cs="Arial"/>
        </w:rPr>
        <w:t>Con la aplicación de las directrices institucionales como son el Lineamiento, el Procedimiento y los formatos de administración de riesgos, se busca encausar y optimizar el accionar de la Secretaría Distrital de Integración Social en la estructuración de criterios orientados hacia la toma de decisiones respecto al tratamiento de los riesgos y sus efectos al interior de la entidad para el cumplimiento de la misión, los objetivos organizacionales, un uso eficiente de los recursos, el mejoramiento continuo, la continuidad en la prestación de los servicios, y la protección de los bienes utilizados para servir a la ciudadanía.</w:t>
      </w:r>
    </w:p>
    <w:p w14:paraId="44CA8FDA" w14:textId="77777777" w:rsidR="00D93DAA" w:rsidRPr="002A3770" w:rsidRDefault="00D93DAA" w:rsidP="00735041">
      <w:pPr>
        <w:pStyle w:val="Sinespaciado"/>
        <w:rPr>
          <w:rFonts w:ascii="Arial" w:hAnsi="Arial" w:cs="Arial"/>
        </w:rPr>
      </w:pPr>
    </w:p>
    <w:p w14:paraId="29BDECC6" w14:textId="79C86B3C" w:rsidR="00735041" w:rsidRDefault="00DF4F6C" w:rsidP="00DF4F6C">
      <w:pPr>
        <w:pStyle w:val="Sinespaciado"/>
        <w:jc w:val="both"/>
        <w:rPr>
          <w:rFonts w:ascii="Arial" w:hAnsi="Arial" w:cs="Arial"/>
        </w:rPr>
      </w:pPr>
      <w:r>
        <w:rPr>
          <w:rFonts w:ascii="Arial" w:hAnsi="Arial" w:cs="Arial"/>
        </w:rPr>
        <w:t xml:space="preserve">Las actividades de </w:t>
      </w:r>
      <w:r w:rsidR="007F24B6">
        <w:rPr>
          <w:rFonts w:ascii="Arial" w:hAnsi="Arial" w:cs="Arial"/>
        </w:rPr>
        <w:t>este</w:t>
      </w:r>
      <w:r>
        <w:rPr>
          <w:rFonts w:ascii="Arial" w:hAnsi="Arial" w:cs="Arial"/>
        </w:rPr>
        <w:t xml:space="preserve"> elemento están orientadas a </w:t>
      </w:r>
      <w:r w:rsidR="007F24B6">
        <w:rPr>
          <w:rFonts w:ascii="Arial" w:hAnsi="Arial" w:cs="Arial"/>
        </w:rPr>
        <w:t>estandarizar y desarrollar</w:t>
      </w:r>
      <w:r>
        <w:rPr>
          <w:rFonts w:ascii="Arial" w:hAnsi="Arial" w:cs="Arial"/>
        </w:rPr>
        <w:t xml:space="preserve"> la g</w:t>
      </w:r>
      <w:r w:rsidR="00FC6F53" w:rsidRPr="002A3770">
        <w:rPr>
          <w:rFonts w:ascii="Arial" w:hAnsi="Arial" w:cs="Arial"/>
        </w:rPr>
        <w:t>estión</w:t>
      </w:r>
      <w:r w:rsidR="00D93DAA" w:rsidRPr="002A3770">
        <w:rPr>
          <w:rFonts w:ascii="Arial" w:hAnsi="Arial" w:cs="Arial"/>
        </w:rPr>
        <w:t xml:space="preserve"> de riesgos</w:t>
      </w:r>
      <w:r>
        <w:rPr>
          <w:rFonts w:ascii="Arial" w:hAnsi="Arial" w:cs="Arial"/>
        </w:rPr>
        <w:t xml:space="preserve"> </w:t>
      </w:r>
      <w:r w:rsidR="00D93DAA" w:rsidRPr="002A3770">
        <w:rPr>
          <w:rFonts w:ascii="Arial" w:hAnsi="Arial" w:cs="Arial"/>
        </w:rPr>
        <w:t xml:space="preserve">como mecanismo preventivo </w:t>
      </w:r>
      <w:r w:rsidR="008D192E">
        <w:rPr>
          <w:rFonts w:ascii="Arial" w:hAnsi="Arial" w:cs="Arial"/>
        </w:rPr>
        <w:t>que asegure</w:t>
      </w:r>
      <w:r w:rsidR="00D93DAA" w:rsidRPr="002A3770">
        <w:rPr>
          <w:rFonts w:ascii="Arial" w:hAnsi="Arial" w:cs="Arial"/>
        </w:rPr>
        <w:t xml:space="preserve"> la correcta operación de los procesos y </w:t>
      </w:r>
      <w:r w:rsidR="008D192E">
        <w:rPr>
          <w:rFonts w:ascii="Arial" w:hAnsi="Arial" w:cs="Arial"/>
        </w:rPr>
        <w:t>la o</w:t>
      </w:r>
      <w:r w:rsidR="00D93DAA" w:rsidRPr="002A3770">
        <w:rPr>
          <w:rFonts w:ascii="Arial" w:hAnsi="Arial" w:cs="Arial"/>
        </w:rPr>
        <w:t>portuna gestión institucional.</w:t>
      </w:r>
    </w:p>
    <w:p w14:paraId="18C6E518" w14:textId="77777777" w:rsidR="00DC6288" w:rsidRPr="002A3770" w:rsidRDefault="00DC6288" w:rsidP="00DF4F6C">
      <w:pPr>
        <w:pStyle w:val="Sinespaciado"/>
        <w:jc w:val="both"/>
        <w:rPr>
          <w:rFonts w:ascii="Arial" w:hAnsi="Arial" w:cs="Arial"/>
        </w:rPr>
      </w:pPr>
    </w:p>
    <w:p w14:paraId="6C3D505B" w14:textId="665B543A" w:rsidR="006E3C8C" w:rsidRPr="009D1D36" w:rsidRDefault="006E3C8C" w:rsidP="001E22BD">
      <w:pPr>
        <w:pStyle w:val="Sinespaciado"/>
        <w:jc w:val="both"/>
        <w:rPr>
          <w:rFonts w:ascii="Arial" w:hAnsi="Arial" w:cs="Arial"/>
          <w:b/>
          <w:bCs/>
          <w:color w:val="FF0000"/>
        </w:rPr>
      </w:pPr>
      <w:r w:rsidRPr="009D1D36">
        <w:rPr>
          <w:rFonts w:ascii="Arial" w:hAnsi="Arial" w:cs="Arial"/>
          <w:b/>
          <w:bCs/>
        </w:rPr>
        <w:t xml:space="preserve">Fortalecimiento técnico para la mejora continua del Sistema de Gestión </w:t>
      </w:r>
    </w:p>
    <w:p w14:paraId="19652009" w14:textId="007BA16C" w:rsidR="00EF136B" w:rsidRPr="009D1D36" w:rsidRDefault="00EF136B" w:rsidP="001E22BD">
      <w:pPr>
        <w:pStyle w:val="Sinespaciado"/>
        <w:jc w:val="both"/>
        <w:rPr>
          <w:rFonts w:ascii="Arial" w:hAnsi="Arial" w:cs="Arial"/>
          <w:highlight w:val="yellow"/>
        </w:rPr>
      </w:pPr>
    </w:p>
    <w:p w14:paraId="6EC81D58" w14:textId="389D65DC" w:rsidR="00283916" w:rsidRPr="009D1D36" w:rsidRDefault="00591222" w:rsidP="009D1D36">
      <w:pPr>
        <w:pStyle w:val="Sinespaciado"/>
        <w:jc w:val="both"/>
        <w:rPr>
          <w:rFonts w:ascii="Arial" w:hAnsi="Arial" w:cs="Arial"/>
        </w:rPr>
      </w:pPr>
      <w:r w:rsidRPr="009D1D36">
        <w:rPr>
          <w:rFonts w:ascii="Arial" w:hAnsi="Arial" w:cs="Arial"/>
        </w:rPr>
        <w:t xml:space="preserve">El fortalecimiento </w:t>
      </w:r>
      <w:r w:rsidR="00936E60">
        <w:rPr>
          <w:rFonts w:ascii="Arial" w:hAnsi="Arial" w:cs="Arial"/>
        </w:rPr>
        <w:t xml:space="preserve">técnico </w:t>
      </w:r>
      <w:r w:rsidR="00283916" w:rsidRPr="009D1D36">
        <w:rPr>
          <w:rFonts w:ascii="Arial" w:hAnsi="Arial" w:cs="Arial"/>
        </w:rPr>
        <w:t xml:space="preserve">consiste en desarrollar herramientas que promuevan la divulgación y apropiación de los conceptos del Sistema de Gestión </w:t>
      </w:r>
      <w:r w:rsidR="00936E60">
        <w:rPr>
          <w:rFonts w:ascii="Arial" w:hAnsi="Arial" w:cs="Arial"/>
        </w:rPr>
        <w:t>derivando así en la</w:t>
      </w:r>
      <w:r w:rsidR="00283916" w:rsidRPr="009D1D36">
        <w:rPr>
          <w:rFonts w:ascii="Arial" w:hAnsi="Arial" w:cs="Arial"/>
        </w:rPr>
        <w:t xml:space="preserve"> mejora continua de los procesos institucionales. </w:t>
      </w:r>
    </w:p>
    <w:p w14:paraId="2E8CE95B" w14:textId="77777777" w:rsidR="00283916" w:rsidRPr="009D1D36" w:rsidRDefault="00283916" w:rsidP="00591222">
      <w:pPr>
        <w:pStyle w:val="Sinespaciado"/>
        <w:rPr>
          <w:rFonts w:ascii="Arial" w:hAnsi="Arial" w:cs="Arial"/>
        </w:rPr>
      </w:pPr>
    </w:p>
    <w:p w14:paraId="322E6C63" w14:textId="636F2F7F" w:rsidR="00591222" w:rsidRDefault="00936E60" w:rsidP="00936E60">
      <w:pPr>
        <w:pStyle w:val="Sinespaciado"/>
        <w:jc w:val="both"/>
        <w:rPr>
          <w:sz w:val="24"/>
          <w:szCs w:val="24"/>
        </w:rPr>
      </w:pPr>
      <w:r>
        <w:rPr>
          <w:rFonts w:ascii="Arial" w:hAnsi="Arial" w:cs="Arial"/>
        </w:rPr>
        <w:t xml:space="preserve">Conforme a lo anterior, serán diseñados y desarrollados diferentes mecanismos de divulgación, socialización y participación, a través de los cuales se fomente la </w:t>
      </w:r>
      <w:r w:rsidR="00153E3D">
        <w:rPr>
          <w:rFonts w:ascii="Arial" w:hAnsi="Arial" w:cs="Arial"/>
        </w:rPr>
        <w:t>integración y</w:t>
      </w:r>
      <w:r>
        <w:rPr>
          <w:rFonts w:ascii="Arial" w:hAnsi="Arial" w:cs="Arial"/>
        </w:rPr>
        <w:t xml:space="preserve"> dinamización de los lineamientos del sistema de gestión, así como el cumplimiento de los objetivos institucionales por parte de las dependencias de la Entidad.</w:t>
      </w:r>
    </w:p>
    <w:p w14:paraId="6B3C8CEE" w14:textId="77777777" w:rsidR="00C56703" w:rsidRPr="0080640D" w:rsidRDefault="00C56703" w:rsidP="003473F7">
      <w:pPr>
        <w:pStyle w:val="Sinespaciado"/>
        <w:rPr>
          <w:rFonts w:ascii="Arial" w:hAnsi="Arial" w:cs="Arial"/>
        </w:rPr>
      </w:pPr>
    </w:p>
    <w:p w14:paraId="52D03BBD" w14:textId="3599196E" w:rsidR="009F16CA" w:rsidRPr="0080640D" w:rsidRDefault="009F16CA" w:rsidP="003473F7">
      <w:pPr>
        <w:pStyle w:val="Sinespaciado"/>
        <w:ind w:left="993" w:hanging="633"/>
        <w:jc w:val="both"/>
        <w:rPr>
          <w:rFonts w:ascii="Arial" w:hAnsi="Arial" w:cs="Arial"/>
          <w:b/>
        </w:rPr>
      </w:pPr>
      <w:r w:rsidRPr="0080640D">
        <w:rPr>
          <w:rFonts w:ascii="Arial" w:hAnsi="Arial" w:cs="Arial"/>
          <w:b/>
        </w:rPr>
        <w:lastRenderedPageBreak/>
        <w:t>2.4.3</w:t>
      </w:r>
      <w:r w:rsidRPr="0080640D">
        <w:rPr>
          <w:rFonts w:ascii="Arial" w:hAnsi="Arial" w:cs="Arial"/>
          <w:b/>
        </w:rPr>
        <w:tab/>
      </w:r>
      <w:r w:rsidR="00117826" w:rsidRPr="0080640D">
        <w:rPr>
          <w:rFonts w:ascii="Arial" w:hAnsi="Arial" w:cs="Arial"/>
          <w:b/>
        </w:rPr>
        <w:t xml:space="preserve">Componente: </w:t>
      </w:r>
      <w:r w:rsidRPr="0080640D">
        <w:rPr>
          <w:rFonts w:ascii="Arial" w:hAnsi="Arial" w:cs="Arial"/>
          <w:b/>
        </w:rPr>
        <w:t>Políticas de gestión y desempeño y componente ambiental</w:t>
      </w:r>
    </w:p>
    <w:p w14:paraId="0C5B1783" w14:textId="1DA1B397" w:rsidR="00C56703" w:rsidRPr="0080640D" w:rsidRDefault="00C56703" w:rsidP="003473F7">
      <w:pPr>
        <w:pStyle w:val="Sinespaciado"/>
        <w:rPr>
          <w:rFonts w:ascii="Arial" w:hAnsi="Arial" w:cs="Arial"/>
        </w:rPr>
      </w:pPr>
    </w:p>
    <w:p w14:paraId="5F7367C5" w14:textId="6D4C74E6" w:rsidR="00C56703" w:rsidRPr="0080640D" w:rsidRDefault="00E37499" w:rsidP="00860D4B">
      <w:pPr>
        <w:pStyle w:val="Sinespaciado"/>
        <w:jc w:val="both"/>
        <w:rPr>
          <w:rFonts w:ascii="Arial" w:hAnsi="Arial" w:cs="Arial"/>
        </w:rPr>
      </w:pPr>
      <w:r w:rsidRPr="0080640D">
        <w:rPr>
          <w:rFonts w:ascii="Arial" w:hAnsi="Arial" w:cs="Arial"/>
        </w:rPr>
        <w:t>En el marco de</w:t>
      </w:r>
      <w:r w:rsidR="00860D4B" w:rsidRPr="0080640D">
        <w:rPr>
          <w:rFonts w:ascii="Arial" w:hAnsi="Arial" w:cs="Arial"/>
        </w:rPr>
        <w:t xml:space="preserve"> </w:t>
      </w:r>
      <w:r w:rsidRPr="0080640D">
        <w:rPr>
          <w:rFonts w:ascii="Arial" w:hAnsi="Arial" w:cs="Arial"/>
        </w:rPr>
        <w:t xml:space="preserve">los </w:t>
      </w:r>
      <w:r w:rsidR="00860D4B" w:rsidRPr="0080640D">
        <w:rPr>
          <w:rFonts w:ascii="Arial" w:hAnsi="Arial" w:cs="Arial"/>
        </w:rPr>
        <w:t>antecedentes expuestos</w:t>
      </w:r>
      <w:r w:rsidRPr="0080640D">
        <w:rPr>
          <w:rFonts w:ascii="Arial" w:hAnsi="Arial" w:cs="Arial"/>
        </w:rPr>
        <w:t xml:space="preserve">, la operación del Modelo Integrado de Planeación y Gestión </w:t>
      </w:r>
      <w:r w:rsidR="00330F49" w:rsidRPr="0080640D">
        <w:rPr>
          <w:rFonts w:ascii="Arial" w:hAnsi="Arial" w:cs="Arial"/>
        </w:rPr>
        <w:t xml:space="preserve">- </w:t>
      </w:r>
      <w:r w:rsidRPr="0080640D">
        <w:rPr>
          <w:rFonts w:ascii="Arial" w:hAnsi="Arial" w:cs="Arial"/>
        </w:rPr>
        <w:t>MIPG se realiza a través de 7 dimensiones y 18 políticas de gestión y desempeño y del componente ambiental.</w:t>
      </w:r>
    </w:p>
    <w:p w14:paraId="50ACB958" w14:textId="03F01210" w:rsidR="00C56703" w:rsidRPr="0080640D" w:rsidRDefault="00C56703" w:rsidP="003473F7">
      <w:pPr>
        <w:pStyle w:val="Sinespaciado"/>
        <w:rPr>
          <w:rFonts w:ascii="Arial" w:hAnsi="Arial" w:cs="Arial"/>
        </w:rPr>
      </w:pPr>
    </w:p>
    <w:p w14:paraId="16DB4E6D" w14:textId="415226A2" w:rsidR="0067505A" w:rsidRPr="00CB4378" w:rsidRDefault="00117826" w:rsidP="0067505A">
      <w:pPr>
        <w:pStyle w:val="Sinespaciado"/>
        <w:jc w:val="both"/>
        <w:rPr>
          <w:rFonts w:ascii="Arial" w:hAnsi="Arial" w:cs="Arial"/>
        </w:rPr>
      </w:pPr>
      <w:r w:rsidRPr="00CB4378">
        <w:rPr>
          <w:rFonts w:ascii="Arial" w:hAnsi="Arial" w:cs="Arial"/>
        </w:rPr>
        <w:t>E</w:t>
      </w:r>
      <w:r w:rsidR="0067505A" w:rsidRPr="00CB4378">
        <w:rPr>
          <w:rFonts w:ascii="Arial" w:hAnsi="Arial" w:cs="Arial"/>
        </w:rPr>
        <w:t xml:space="preserve">ste componente hace referencia a las diferentes actividades para la implementación, mantenimiento y mejora de los elementos y directrices nacionales, distritales e institucionales para cada una de las </w:t>
      </w:r>
      <w:r w:rsidR="009640B0" w:rsidRPr="00CB4378">
        <w:rPr>
          <w:rFonts w:ascii="Arial" w:hAnsi="Arial" w:cs="Arial"/>
        </w:rPr>
        <w:t xml:space="preserve">18 </w:t>
      </w:r>
      <w:r w:rsidR="0067505A" w:rsidRPr="00CB4378">
        <w:rPr>
          <w:rFonts w:ascii="Arial" w:hAnsi="Arial" w:cs="Arial"/>
        </w:rPr>
        <w:t>políticas de gestión y desempeño</w:t>
      </w:r>
      <w:r w:rsidR="004A3710" w:rsidRPr="00CB4378">
        <w:rPr>
          <w:rFonts w:ascii="Arial" w:hAnsi="Arial" w:cs="Arial"/>
        </w:rPr>
        <w:t xml:space="preserve">, así como </w:t>
      </w:r>
      <w:r w:rsidR="007574A5" w:rsidRPr="00CB4378">
        <w:rPr>
          <w:rFonts w:ascii="Arial" w:hAnsi="Arial" w:cs="Arial"/>
        </w:rPr>
        <w:t>su</w:t>
      </w:r>
      <w:r w:rsidR="0067505A" w:rsidRPr="00CB4378">
        <w:rPr>
          <w:rFonts w:ascii="Arial" w:hAnsi="Arial" w:cs="Arial"/>
        </w:rPr>
        <w:t xml:space="preserve"> componente ambiental.</w:t>
      </w:r>
      <w:r w:rsidR="00F17E8A" w:rsidRPr="00CB4378">
        <w:rPr>
          <w:rFonts w:ascii="Arial" w:hAnsi="Arial" w:cs="Arial"/>
        </w:rPr>
        <w:t xml:space="preserve"> Y se tiene proyectado desarrollar a través de los </w:t>
      </w:r>
      <w:r w:rsidR="00B80C90" w:rsidRPr="00CB4378">
        <w:rPr>
          <w:rFonts w:ascii="Arial" w:hAnsi="Arial" w:cs="Arial"/>
        </w:rPr>
        <w:t>siguientes apartes:</w:t>
      </w:r>
    </w:p>
    <w:p w14:paraId="3CED00EF" w14:textId="77777777" w:rsidR="00066FA3" w:rsidRPr="00CB4378" w:rsidRDefault="00066FA3" w:rsidP="0067505A">
      <w:pPr>
        <w:pStyle w:val="Sinespaciado"/>
        <w:jc w:val="both"/>
        <w:rPr>
          <w:rFonts w:ascii="Arial" w:hAnsi="Arial" w:cs="Arial"/>
        </w:rPr>
      </w:pPr>
    </w:p>
    <w:p w14:paraId="44923DC6" w14:textId="77777777" w:rsidR="00773ABE" w:rsidRPr="00CB4378" w:rsidRDefault="0067505A" w:rsidP="001C2FEB">
      <w:pPr>
        <w:pStyle w:val="Sinespaciado"/>
        <w:numPr>
          <w:ilvl w:val="0"/>
          <w:numId w:val="30"/>
        </w:numPr>
        <w:jc w:val="both"/>
        <w:rPr>
          <w:rFonts w:ascii="Arial" w:hAnsi="Arial" w:cs="Arial"/>
        </w:rPr>
      </w:pPr>
      <w:r w:rsidRPr="00CB4378">
        <w:rPr>
          <w:rFonts w:ascii="Arial" w:hAnsi="Arial" w:cs="Arial"/>
          <w:bCs/>
        </w:rPr>
        <w:t>Acompañamiento técnico a las dependencias y procesos</w:t>
      </w:r>
    </w:p>
    <w:p w14:paraId="13EEDCD0" w14:textId="77777777" w:rsidR="00773ABE" w:rsidRPr="00CB4378" w:rsidRDefault="0067505A" w:rsidP="001C2FEB">
      <w:pPr>
        <w:pStyle w:val="Sinespaciado"/>
        <w:numPr>
          <w:ilvl w:val="0"/>
          <w:numId w:val="30"/>
        </w:numPr>
        <w:jc w:val="both"/>
        <w:rPr>
          <w:rFonts w:ascii="Arial" w:hAnsi="Arial" w:cs="Arial"/>
        </w:rPr>
      </w:pPr>
      <w:r w:rsidRPr="00CB4378">
        <w:rPr>
          <w:rFonts w:ascii="Arial" w:hAnsi="Arial" w:cs="Arial"/>
        </w:rPr>
        <w:t>Socializaciones</w:t>
      </w:r>
    </w:p>
    <w:p w14:paraId="73907EB6" w14:textId="77777777" w:rsidR="00773ABE" w:rsidRPr="00CB4378" w:rsidRDefault="0067505A" w:rsidP="001C2FEB">
      <w:pPr>
        <w:pStyle w:val="Sinespaciado"/>
        <w:numPr>
          <w:ilvl w:val="0"/>
          <w:numId w:val="30"/>
        </w:numPr>
        <w:jc w:val="both"/>
        <w:rPr>
          <w:rFonts w:ascii="Arial" w:hAnsi="Arial" w:cs="Arial"/>
        </w:rPr>
      </w:pPr>
      <w:r w:rsidRPr="00CB4378">
        <w:rPr>
          <w:rFonts w:ascii="Arial" w:hAnsi="Arial" w:cs="Arial"/>
        </w:rPr>
        <w:t>Formulación y seguimiento plan de ajuste y sostenibilidad MIPG</w:t>
      </w:r>
    </w:p>
    <w:p w14:paraId="1BDEB0E5" w14:textId="77777777" w:rsidR="0092718A" w:rsidRPr="00CB4378" w:rsidRDefault="0067505A" w:rsidP="001C2FEB">
      <w:pPr>
        <w:pStyle w:val="Sinespaciado"/>
        <w:numPr>
          <w:ilvl w:val="0"/>
          <w:numId w:val="30"/>
        </w:numPr>
        <w:jc w:val="both"/>
        <w:rPr>
          <w:rFonts w:ascii="Arial" w:hAnsi="Arial" w:cs="Arial"/>
        </w:rPr>
      </w:pPr>
      <w:r w:rsidRPr="00CB4378">
        <w:rPr>
          <w:rFonts w:ascii="Arial" w:hAnsi="Arial" w:cs="Arial"/>
        </w:rPr>
        <w:t>Elaboración de informes y documentos con el estado de las políticas y del componente ambiental</w:t>
      </w:r>
    </w:p>
    <w:p w14:paraId="0674EA62" w14:textId="77777777" w:rsidR="0092718A" w:rsidRPr="00CB4378" w:rsidRDefault="0067505A" w:rsidP="001C2FEB">
      <w:pPr>
        <w:pStyle w:val="Sinespaciado"/>
        <w:numPr>
          <w:ilvl w:val="0"/>
          <w:numId w:val="30"/>
        </w:numPr>
        <w:jc w:val="both"/>
        <w:rPr>
          <w:rFonts w:ascii="Arial" w:hAnsi="Arial" w:cs="Arial"/>
        </w:rPr>
      </w:pPr>
      <w:r w:rsidRPr="00CB4378">
        <w:rPr>
          <w:rFonts w:ascii="Arial" w:hAnsi="Arial" w:cs="Arial"/>
        </w:rPr>
        <w:t>Apoyo en la actualización de los autodiagnósticos</w:t>
      </w:r>
    </w:p>
    <w:p w14:paraId="239F71EB" w14:textId="3D316A90" w:rsidR="00860D4B" w:rsidRPr="00CB4378" w:rsidRDefault="0067505A" w:rsidP="003473F7">
      <w:pPr>
        <w:pStyle w:val="Sinespaciado"/>
        <w:numPr>
          <w:ilvl w:val="0"/>
          <w:numId w:val="30"/>
        </w:numPr>
        <w:jc w:val="both"/>
        <w:rPr>
          <w:rFonts w:ascii="Arial" w:hAnsi="Arial" w:cs="Arial"/>
        </w:rPr>
      </w:pPr>
      <w:r w:rsidRPr="00CB4378">
        <w:rPr>
          <w:rFonts w:ascii="Arial" w:hAnsi="Arial" w:cs="Arial"/>
        </w:rPr>
        <w:t xml:space="preserve">Consolidación de información para </w:t>
      </w:r>
      <w:r w:rsidR="00F504ED" w:rsidRPr="00CB4378">
        <w:rPr>
          <w:rFonts w:ascii="Arial" w:hAnsi="Arial" w:cs="Arial"/>
        </w:rPr>
        <w:t xml:space="preserve">el </w:t>
      </w:r>
      <w:r w:rsidRPr="00CB4378">
        <w:rPr>
          <w:rFonts w:ascii="Arial" w:hAnsi="Arial" w:cs="Arial"/>
        </w:rPr>
        <w:t>seguimiento y medici</w:t>
      </w:r>
      <w:r w:rsidR="00F504ED" w:rsidRPr="00CB4378">
        <w:rPr>
          <w:rFonts w:ascii="Arial" w:hAnsi="Arial" w:cs="Arial"/>
        </w:rPr>
        <w:t>ón</w:t>
      </w:r>
      <w:r w:rsidRPr="00CB4378">
        <w:rPr>
          <w:rFonts w:ascii="Arial" w:hAnsi="Arial" w:cs="Arial"/>
        </w:rPr>
        <w:t xml:space="preserve"> interna y externa</w:t>
      </w:r>
      <w:r w:rsidR="00F504ED" w:rsidRPr="00CB4378">
        <w:rPr>
          <w:rFonts w:ascii="Arial" w:hAnsi="Arial" w:cs="Arial"/>
        </w:rPr>
        <w:t xml:space="preserve"> en el marco </w:t>
      </w:r>
      <w:r w:rsidR="0049541E" w:rsidRPr="00CB4378">
        <w:rPr>
          <w:rFonts w:ascii="Arial" w:hAnsi="Arial" w:cs="Arial"/>
        </w:rPr>
        <w:t>de</w:t>
      </w:r>
      <w:r w:rsidRPr="00CB4378">
        <w:rPr>
          <w:rFonts w:ascii="Arial" w:hAnsi="Arial" w:cs="Arial"/>
        </w:rPr>
        <w:t xml:space="preserve"> las políticas de gestión y desempeño y el componente ambiental</w:t>
      </w:r>
      <w:r w:rsidR="0049541E" w:rsidRPr="00CB4378">
        <w:rPr>
          <w:rFonts w:ascii="Arial" w:hAnsi="Arial" w:cs="Arial"/>
        </w:rPr>
        <w:t>.</w:t>
      </w:r>
    </w:p>
    <w:p w14:paraId="3C5E6A5A" w14:textId="77777777" w:rsidR="00502252" w:rsidRPr="00CB4378" w:rsidRDefault="00502252" w:rsidP="003473F7">
      <w:pPr>
        <w:pStyle w:val="Sinespaciado"/>
        <w:rPr>
          <w:rFonts w:ascii="Arial" w:hAnsi="Arial" w:cs="Arial"/>
        </w:rPr>
      </w:pPr>
    </w:p>
    <w:p w14:paraId="08E48905" w14:textId="0B12F078" w:rsidR="00FB1A1D" w:rsidRPr="00FB1A1D" w:rsidRDefault="002F1B06" w:rsidP="00FB1A1D">
      <w:pPr>
        <w:pStyle w:val="Sinespaciado"/>
        <w:numPr>
          <w:ilvl w:val="1"/>
          <w:numId w:val="14"/>
        </w:numPr>
        <w:jc w:val="both"/>
        <w:rPr>
          <w:rFonts w:ascii="Arial" w:hAnsi="Arial" w:cs="Arial"/>
          <w:b/>
        </w:rPr>
      </w:pPr>
      <w:r w:rsidRPr="00FB1A1D">
        <w:rPr>
          <w:rFonts w:ascii="Arial" w:hAnsi="Arial" w:cs="Arial"/>
          <w:b/>
        </w:rPr>
        <w:t>Seguimiento al Programa</w:t>
      </w:r>
      <w:r w:rsidR="00FB1A1D" w:rsidRPr="00FB1A1D">
        <w:rPr>
          <w:rFonts w:ascii="Arial" w:hAnsi="Arial" w:cs="Arial"/>
          <w:b/>
        </w:rPr>
        <w:t xml:space="preserve"> de Implementación y Sostenibilidad del Sistema de Gestión</w:t>
      </w:r>
    </w:p>
    <w:p w14:paraId="5AE6F998" w14:textId="49C6B69D" w:rsidR="00D41D1D" w:rsidRPr="00CB4378" w:rsidRDefault="00D41D1D" w:rsidP="00D41D1D">
      <w:pPr>
        <w:pStyle w:val="Sinespaciado"/>
        <w:rPr>
          <w:rFonts w:ascii="Arial" w:hAnsi="Arial" w:cs="Arial"/>
        </w:rPr>
      </w:pPr>
    </w:p>
    <w:p w14:paraId="15C4C03A" w14:textId="36185F82" w:rsidR="00842C18" w:rsidRPr="00CB4378" w:rsidRDefault="002F1B06" w:rsidP="002F1B06">
      <w:pPr>
        <w:pStyle w:val="Sinespaciado"/>
        <w:jc w:val="both"/>
        <w:rPr>
          <w:rFonts w:ascii="Arial" w:hAnsi="Arial" w:cs="Arial"/>
        </w:rPr>
      </w:pPr>
      <w:r>
        <w:rPr>
          <w:rFonts w:ascii="Arial" w:hAnsi="Arial" w:cs="Arial"/>
        </w:rPr>
        <w:t xml:space="preserve">El seguimiento se realizará a través de una matriz que contiene la formulación y seguimiento del plan de acción definido para cada una de las vigencias en el periodo de ejecución del plan de desarrollo. Es responsabilidad del Equipo </w:t>
      </w:r>
      <w:r w:rsidR="00E96150">
        <w:rPr>
          <w:rFonts w:ascii="Arial" w:hAnsi="Arial" w:cs="Arial"/>
        </w:rPr>
        <w:t>del Sistema de Gestión</w:t>
      </w:r>
      <w:r>
        <w:rPr>
          <w:rFonts w:ascii="Arial" w:hAnsi="Arial" w:cs="Arial"/>
        </w:rPr>
        <w:t xml:space="preserve"> de la Subdirección de Diseño, </w:t>
      </w:r>
      <w:r w:rsidR="00E96150">
        <w:rPr>
          <w:rFonts w:ascii="Arial" w:hAnsi="Arial" w:cs="Arial"/>
        </w:rPr>
        <w:t>E</w:t>
      </w:r>
      <w:r>
        <w:rPr>
          <w:rFonts w:ascii="Arial" w:hAnsi="Arial" w:cs="Arial"/>
        </w:rPr>
        <w:t xml:space="preserve">valuación y </w:t>
      </w:r>
      <w:r w:rsidR="00E96150">
        <w:rPr>
          <w:rFonts w:ascii="Arial" w:hAnsi="Arial" w:cs="Arial"/>
        </w:rPr>
        <w:t>S</w:t>
      </w:r>
      <w:r>
        <w:rPr>
          <w:rFonts w:ascii="Arial" w:hAnsi="Arial" w:cs="Arial"/>
        </w:rPr>
        <w:t>istematización, realizar la formulación del plan de acción al inicio de cada vigencia, el cual</w:t>
      </w:r>
      <w:r w:rsidR="001C029E" w:rsidRPr="00CB4378">
        <w:rPr>
          <w:rFonts w:ascii="Arial" w:hAnsi="Arial" w:cs="Arial"/>
        </w:rPr>
        <w:t xml:space="preserve"> hace parte integral del programa </w:t>
      </w:r>
      <w:r>
        <w:rPr>
          <w:rFonts w:ascii="Arial" w:hAnsi="Arial" w:cs="Arial"/>
        </w:rPr>
        <w:t xml:space="preserve">y </w:t>
      </w:r>
      <w:r w:rsidR="00447337" w:rsidRPr="00CB4378">
        <w:rPr>
          <w:rFonts w:ascii="Arial" w:hAnsi="Arial" w:cs="Arial"/>
        </w:rPr>
        <w:t>tendrá la siguiente estructura:</w:t>
      </w:r>
    </w:p>
    <w:p w14:paraId="6A2467C0" w14:textId="77777777" w:rsidR="00D230CE" w:rsidRPr="00CB4378" w:rsidRDefault="00D230CE" w:rsidP="00D41D1D">
      <w:pPr>
        <w:pStyle w:val="Sinespaciado"/>
        <w:rPr>
          <w:rFonts w:ascii="Arial" w:hAnsi="Arial" w:cs="Arial"/>
        </w:rPr>
      </w:pPr>
    </w:p>
    <w:p w14:paraId="5F06E660" w14:textId="5E918561" w:rsidR="00946BA8" w:rsidRPr="00CB4378" w:rsidRDefault="00D230CE" w:rsidP="00CB4378">
      <w:pPr>
        <w:pStyle w:val="Sinespaciado"/>
        <w:rPr>
          <w:rFonts w:ascii="Arial" w:hAnsi="Arial" w:cs="Arial"/>
        </w:rPr>
      </w:pPr>
      <w:r w:rsidRPr="00CB4378">
        <w:rPr>
          <w:rFonts w:ascii="Arial" w:hAnsi="Arial" w:cs="Arial"/>
          <w:noProof/>
        </w:rPr>
        <w:drawing>
          <wp:inline distT="0" distB="0" distL="0" distR="0" wp14:anchorId="0FB6BF18" wp14:editId="1D074FA3">
            <wp:extent cx="5612130" cy="6762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12130" cy="676275"/>
                    </a:xfrm>
                    <a:prstGeom prst="rect">
                      <a:avLst/>
                    </a:prstGeom>
                  </pic:spPr>
                </pic:pic>
              </a:graphicData>
            </a:graphic>
          </wp:inline>
        </w:drawing>
      </w:r>
    </w:p>
    <w:p w14:paraId="65FAF3E7" w14:textId="77777777" w:rsidR="00D230CE" w:rsidRPr="00CB4378" w:rsidRDefault="00D230CE" w:rsidP="00D41D1D">
      <w:pPr>
        <w:pStyle w:val="Sinespaciado"/>
        <w:rPr>
          <w:rFonts w:ascii="Arial" w:hAnsi="Arial" w:cs="Arial"/>
        </w:rPr>
      </w:pPr>
    </w:p>
    <w:p w14:paraId="5A8A9FEE" w14:textId="7FE98DE7" w:rsidR="00B44ABC" w:rsidRPr="00CB4378" w:rsidRDefault="00B44ABC" w:rsidP="00D230CE">
      <w:pPr>
        <w:pStyle w:val="Sinespaciado"/>
        <w:jc w:val="both"/>
        <w:rPr>
          <w:rFonts w:ascii="Arial" w:hAnsi="Arial" w:cs="Arial"/>
        </w:rPr>
      </w:pPr>
      <w:r w:rsidRPr="00CB4378">
        <w:rPr>
          <w:rFonts w:ascii="Arial" w:hAnsi="Arial" w:cs="Arial"/>
        </w:rPr>
        <w:t xml:space="preserve">La formulación del plan de acción se realizará de acuerdo con los componentes descritos </w:t>
      </w:r>
      <w:r w:rsidR="00D230CE" w:rsidRPr="00CB4378">
        <w:rPr>
          <w:rFonts w:ascii="Arial" w:hAnsi="Arial" w:cs="Arial"/>
        </w:rPr>
        <w:t xml:space="preserve">en los numerales 2.4.1, 2.4.2 y 2.4.3 de </w:t>
      </w:r>
      <w:r w:rsidR="00502252" w:rsidRPr="00CB4378">
        <w:rPr>
          <w:rFonts w:ascii="Arial" w:hAnsi="Arial" w:cs="Arial"/>
        </w:rPr>
        <w:t>este</w:t>
      </w:r>
      <w:r w:rsidRPr="00CB4378">
        <w:rPr>
          <w:rFonts w:ascii="Arial" w:hAnsi="Arial" w:cs="Arial"/>
        </w:rPr>
        <w:t xml:space="preserve"> documento</w:t>
      </w:r>
      <w:r w:rsidR="00D230CE" w:rsidRPr="00CB4378">
        <w:rPr>
          <w:rFonts w:ascii="Arial" w:hAnsi="Arial" w:cs="Arial"/>
        </w:rPr>
        <w:t xml:space="preserve">, para los cuales se deberán plantear las actividades, fechas de ejecución, criterios de medición, evidencias y responsables de su implementación y desarrollo. </w:t>
      </w:r>
      <w:r w:rsidRPr="00CB4378">
        <w:rPr>
          <w:rFonts w:ascii="Arial" w:hAnsi="Arial" w:cs="Arial"/>
        </w:rPr>
        <w:t xml:space="preserve"> </w:t>
      </w:r>
    </w:p>
    <w:p w14:paraId="0138DFA6" w14:textId="77777777" w:rsidR="00B44ABC" w:rsidRDefault="00B44ABC" w:rsidP="00D41D1D">
      <w:pPr>
        <w:pStyle w:val="Sinespaciado"/>
        <w:rPr>
          <w:sz w:val="24"/>
          <w:szCs w:val="24"/>
        </w:rPr>
      </w:pPr>
    </w:p>
    <w:p w14:paraId="2DF36EC4" w14:textId="2B1B55E2" w:rsidR="00B362AC" w:rsidRDefault="00946BA8" w:rsidP="00CB4378">
      <w:pPr>
        <w:pStyle w:val="Sinespaciado"/>
        <w:jc w:val="center"/>
        <w:rPr>
          <w:sz w:val="24"/>
          <w:szCs w:val="24"/>
        </w:rPr>
      </w:pPr>
      <w:r w:rsidRPr="00946BA8">
        <w:rPr>
          <w:noProof/>
        </w:rPr>
        <w:drawing>
          <wp:inline distT="0" distB="0" distL="0" distR="0" wp14:anchorId="52BA9B30" wp14:editId="7F66A481">
            <wp:extent cx="5039832" cy="74588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73688" cy="750892"/>
                    </a:xfrm>
                    <a:prstGeom prst="rect">
                      <a:avLst/>
                    </a:prstGeom>
                  </pic:spPr>
                </pic:pic>
              </a:graphicData>
            </a:graphic>
          </wp:inline>
        </w:drawing>
      </w:r>
    </w:p>
    <w:p w14:paraId="6D9B3CF9" w14:textId="093C6FD5" w:rsidR="00946BA8" w:rsidRDefault="00946BA8" w:rsidP="00D41D1D">
      <w:pPr>
        <w:pStyle w:val="Sinespaciado"/>
        <w:rPr>
          <w:sz w:val="24"/>
          <w:szCs w:val="24"/>
        </w:rPr>
      </w:pPr>
    </w:p>
    <w:p w14:paraId="6E9AF2AD" w14:textId="2C4B4A42" w:rsidR="00946BA8" w:rsidRDefault="00946BA8" w:rsidP="00D230CE">
      <w:pPr>
        <w:pStyle w:val="Sinespaciado"/>
        <w:jc w:val="center"/>
        <w:rPr>
          <w:sz w:val="24"/>
          <w:szCs w:val="24"/>
        </w:rPr>
      </w:pPr>
      <w:r w:rsidRPr="00946BA8">
        <w:rPr>
          <w:noProof/>
        </w:rPr>
        <w:lastRenderedPageBreak/>
        <w:drawing>
          <wp:inline distT="0" distB="0" distL="0" distR="0" wp14:anchorId="3CD5FE7A" wp14:editId="24B8CEB6">
            <wp:extent cx="3944679" cy="1199293"/>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62193" cy="1204618"/>
                    </a:xfrm>
                    <a:prstGeom prst="rect">
                      <a:avLst/>
                    </a:prstGeom>
                  </pic:spPr>
                </pic:pic>
              </a:graphicData>
            </a:graphic>
          </wp:inline>
        </w:drawing>
      </w:r>
    </w:p>
    <w:p w14:paraId="5F6C7E19" w14:textId="602E60CB" w:rsidR="00D230CE" w:rsidRDefault="00D230CE" w:rsidP="00D41D1D">
      <w:pPr>
        <w:pStyle w:val="Sinespaciado"/>
        <w:rPr>
          <w:sz w:val="24"/>
          <w:szCs w:val="24"/>
        </w:rPr>
      </w:pPr>
    </w:p>
    <w:p w14:paraId="01DA8B25" w14:textId="692F993C" w:rsidR="00CB4378" w:rsidRDefault="00E963E0" w:rsidP="00CB4378">
      <w:pPr>
        <w:pStyle w:val="Sinespaciado"/>
        <w:jc w:val="both"/>
        <w:rPr>
          <w:rFonts w:ascii="Arial" w:hAnsi="Arial" w:cs="Arial"/>
        </w:rPr>
      </w:pPr>
      <w:r>
        <w:rPr>
          <w:rFonts w:ascii="Arial" w:hAnsi="Arial" w:cs="Arial"/>
        </w:rPr>
        <w:t xml:space="preserve">De igual forma, es responsabilidad del Equipo </w:t>
      </w:r>
      <w:r w:rsidR="00E96150">
        <w:rPr>
          <w:rFonts w:ascii="Arial" w:hAnsi="Arial" w:cs="Arial"/>
        </w:rPr>
        <w:t>del Sistema de Gestión</w:t>
      </w:r>
      <w:r>
        <w:rPr>
          <w:rFonts w:ascii="Arial" w:hAnsi="Arial" w:cs="Arial"/>
        </w:rPr>
        <w:t xml:space="preserve"> de la Subdirección de Diseño, </w:t>
      </w:r>
      <w:r w:rsidR="00E96150">
        <w:rPr>
          <w:rFonts w:ascii="Arial" w:hAnsi="Arial" w:cs="Arial"/>
        </w:rPr>
        <w:t>E</w:t>
      </w:r>
      <w:r>
        <w:rPr>
          <w:rFonts w:ascii="Arial" w:hAnsi="Arial" w:cs="Arial"/>
        </w:rPr>
        <w:t xml:space="preserve">valuación y </w:t>
      </w:r>
      <w:r w:rsidR="00E96150">
        <w:rPr>
          <w:rFonts w:ascii="Arial" w:hAnsi="Arial" w:cs="Arial"/>
        </w:rPr>
        <w:t>S</w:t>
      </w:r>
      <w:r>
        <w:rPr>
          <w:rFonts w:ascii="Arial" w:hAnsi="Arial" w:cs="Arial"/>
        </w:rPr>
        <w:t>istematización hacer el se</w:t>
      </w:r>
      <w:r w:rsidR="002F1B06">
        <w:rPr>
          <w:rFonts w:ascii="Arial" w:hAnsi="Arial" w:cs="Arial"/>
        </w:rPr>
        <w:t>guimiento</w:t>
      </w:r>
      <w:r>
        <w:rPr>
          <w:rFonts w:ascii="Arial" w:hAnsi="Arial" w:cs="Arial"/>
        </w:rPr>
        <w:t xml:space="preserve"> </w:t>
      </w:r>
      <w:r w:rsidR="00E96150">
        <w:rPr>
          <w:rFonts w:ascii="Arial" w:hAnsi="Arial" w:cs="Arial"/>
        </w:rPr>
        <w:t xml:space="preserve">periódico </w:t>
      </w:r>
      <w:r>
        <w:rPr>
          <w:rFonts w:ascii="Arial" w:hAnsi="Arial" w:cs="Arial"/>
        </w:rPr>
        <w:t>del plan de acción</w:t>
      </w:r>
      <w:r w:rsidR="00CB4378" w:rsidRPr="00CB4378">
        <w:rPr>
          <w:rFonts w:ascii="Arial" w:hAnsi="Arial" w:cs="Arial"/>
        </w:rPr>
        <w:t>, para lo cual se deberá reportar el avance en la ejecución de las actividades y su respectiva descripción. Esta información permitirá consolidar los resultados para el respectivo trimestre de la vigencia y el seguimiento del p</w:t>
      </w:r>
      <w:r w:rsidR="008535A1">
        <w:rPr>
          <w:rFonts w:ascii="Arial" w:hAnsi="Arial" w:cs="Arial"/>
        </w:rPr>
        <w:t>l</w:t>
      </w:r>
      <w:r w:rsidR="00CB4378" w:rsidRPr="00CB4378">
        <w:rPr>
          <w:rFonts w:ascii="Arial" w:hAnsi="Arial" w:cs="Arial"/>
        </w:rPr>
        <w:t>an respecto de la meta anual.</w:t>
      </w:r>
    </w:p>
    <w:p w14:paraId="6DB831A1" w14:textId="4E54DF4E" w:rsidR="00005823" w:rsidRDefault="00005823" w:rsidP="00CB4378">
      <w:pPr>
        <w:pStyle w:val="Sinespaciado"/>
        <w:jc w:val="both"/>
        <w:rPr>
          <w:rFonts w:ascii="Arial" w:hAnsi="Arial" w:cs="Arial"/>
        </w:rPr>
      </w:pPr>
    </w:p>
    <w:p w14:paraId="290789E1" w14:textId="528222EC" w:rsidR="00005823" w:rsidRPr="00CB4378" w:rsidRDefault="00005823" w:rsidP="00CB4378">
      <w:pPr>
        <w:pStyle w:val="Sinespaciado"/>
        <w:jc w:val="both"/>
        <w:rPr>
          <w:rFonts w:ascii="Arial" w:hAnsi="Arial" w:cs="Arial"/>
        </w:rPr>
      </w:pPr>
      <w:r>
        <w:rPr>
          <w:rFonts w:ascii="Arial" w:hAnsi="Arial" w:cs="Arial"/>
        </w:rPr>
        <w:t xml:space="preserve">La matriz de plan de acción formulada así como su respectivo seguimiento podrá ser consultada como documento no controlado del Equipo </w:t>
      </w:r>
      <w:r w:rsidR="00E96150">
        <w:rPr>
          <w:rFonts w:ascii="Arial" w:hAnsi="Arial" w:cs="Arial"/>
        </w:rPr>
        <w:t xml:space="preserve">del </w:t>
      </w:r>
      <w:r w:rsidR="0026044E">
        <w:rPr>
          <w:rFonts w:ascii="Arial" w:hAnsi="Arial" w:cs="Arial"/>
        </w:rPr>
        <w:t>Sistema</w:t>
      </w:r>
      <w:r w:rsidR="00E96150">
        <w:rPr>
          <w:rFonts w:ascii="Arial" w:hAnsi="Arial" w:cs="Arial"/>
        </w:rPr>
        <w:t xml:space="preserve"> de Gestión</w:t>
      </w:r>
      <w:r>
        <w:rPr>
          <w:rFonts w:ascii="Arial" w:hAnsi="Arial" w:cs="Arial"/>
        </w:rPr>
        <w:t xml:space="preserve"> de la Subdirección de Diseño, </w:t>
      </w:r>
      <w:r w:rsidR="00E96150">
        <w:rPr>
          <w:rFonts w:ascii="Arial" w:hAnsi="Arial" w:cs="Arial"/>
        </w:rPr>
        <w:t>E</w:t>
      </w:r>
      <w:r>
        <w:rPr>
          <w:rFonts w:ascii="Arial" w:hAnsi="Arial" w:cs="Arial"/>
        </w:rPr>
        <w:t xml:space="preserve">valuación y </w:t>
      </w:r>
      <w:r w:rsidR="00E96150">
        <w:rPr>
          <w:rFonts w:ascii="Arial" w:hAnsi="Arial" w:cs="Arial"/>
        </w:rPr>
        <w:t>S</w:t>
      </w:r>
      <w:r>
        <w:rPr>
          <w:rFonts w:ascii="Arial" w:hAnsi="Arial" w:cs="Arial"/>
        </w:rPr>
        <w:t>istematización, para la vigencia que corresponda.</w:t>
      </w:r>
    </w:p>
    <w:p w14:paraId="220A1BA1" w14:textId="27BF1A54" w:rsidR="009A39D4" w:rsidRDefault="009A39D4" w:rsidP="0026044E">
      <w:pPr>
        <w:pStyle w:val="Sinespaciado"/>
        <w:jc w:val="both"/>
        <w:rPr>
          <w:rFonts w:ascii="Arial" w:hAnsi="Arial" w:cs="Arial"/>
          <w:bCs/>
        </w:rPr>
      </w:pPr>
    </w:p>
    <w:p w14:paraId="6961C79A" w14:textId="77777777" w:rsidR="00005823" w:rsidRPr="00CB4378" w:rsidRDefault="00005823" w:rsidP="009A39D4">
      <w:pPr>
        <w:pStyle w:val="Sinespaciado"/>
        <w:ind w:left="1068"/>
        <w:rPr>
          <w:rFonts w:ascii="Arial" w:hAnsi="Arial" w:cs="Arial"/>
          <w:bCs/>
        </w:rPr>
      </w:pPr>
    </w:p>
    <w:p w14:paraId="35928397" w14:textId="296809BE" w:rsidR="00CD2136" w:rsidRDefault="00CD2136" w:rsidP="002F1B06">
      <w:pPr>
        <w:pStyle w:val="Sinespaciado"/>
        <w:numPr>
          <w:ilvl w:val="0"/>
          <w:numId w:val="14"/>
        </w:numPr>
        <w:ind w:left="426" w:hanging="426"/>
        <w:rPr>
          <w:rFonts w:ascii="Arial" w:hAnsi="Arial" w:cs="Arial"/>
          <w:b/>
          <w:bCs/>
        </w:rPr>
      </w:pPr>
      <w:r>
        <w:rPr>
          <w:rFonts w:ascii="Arial" w:hAnsi="Arial" w:cs="Arial"/>
          <w:b/>
          <w:bCs/>
        </w:rPr>
        <w:t xml:space="preserve">Bibliografía </w:t>
      </w:r>
    </w:p>
    <w:p w14:paraId="331D48E1" w14:textId="0581B78F" w:rsidR="00CD2136" w:rsidRDefault="00CD2136" w:rsidP="00CD2136">
      <w:pPr>
        <w:pStyle w:val="Sinespaciado"/>
        <w:rPr>
          <w:rFonts w:ascii="Arial" w:hAnsi="Arial" w:cs="Arial"/>
          <w:b/>
          <w:bCs/>
        </w:rPr>
      </w:pPr>
    </w:p>
    <w:p w14:paraId="387FCA5B" w14:textId="65829013" w:rsidR="00005823" w:rsidRPr="00DC6288" w:rsidRDefault="00005823" w:rsidP="0026044E">
      <w:pPr>
        <w:pStyle w:val="Sinespaciado"/>
        <w:numPr>
          <w:ilvl w:val="0"/>
          <w:numId w:val="44"/>
        </w:numPr>
        <w:jc w:val="both"/>
        <w:rPr>
          <w:rFonts w:ascii="Arial" w:hAnsi="Arial" w:cs="Arial"/>
        </w:rPr>
      </w:pPr>
      <w:r w:rsidRPr="00005823">
        <w:rPr>
          <w:rFonts w:ascii="Arial" w:hAnsi="Arial" w:cs="Arial"/>
        </w:rPr>
        <w:t>Manual Operativo del Modelo Integrado de Planeación y Gestión. Versión 2, agosto de 2018, Presidencia de la República.</w:t>
      </w:r>
    </w:p>
    <w:p w14:paraId="04454111" w14:textId="18FDA176" w:rsidR="00005823" w:rsidRPr="00005823" w:rsidRDefault="0051052A" w:rsidP="00005823">
      <w:pPr>
        <w:pStyle w:val="Default"/>
        <w:numPr>
          <w:ilvl w:val="0"/>
          <w:numId w:val="44"/>
        </w:numPr>
        <w:rPr>
          <w:bCs/>
          <w:color w:val="auto"/>
          <w:sz w:val="22"/>
          <w:szCs w:val="22"/>
        </w:rPr>
      </w:pPr>
      <w:hyperlink r:id="rId35" w:anchor=":~:text=La%20Ley%20489%20de%201998,funcionamiento%20de%20la%20administraci%C3%B3n%20p%C3%BAblica." w:history="1">
        <w:r w:rsidR="00005823" w:rsidRPr="00005823">
          <w:rPr>
            <w:rStyle w:val="Hipervnculo"/>
            <w:bCs/>
            <w:sz w:val="22"/>
            <w:szCs w:val="22"/>
          </w:rPr>
          <w:t>http://www.scielo.org.co/scielo.php?script=sci_arttext&amp;pid=S0124-05791999000200005#:~:text=La%20Ley%20489%20de%201998,funcionamiento%20de%20la%20administraci%C3%B3n%20p%C3%BAblica.</w:t>
        </w:r>
      </w:hyperlink>
      <w:r w:rsidR="00005823" w:rsidRPr="00005823">
        <w:rPr>
          <w:bCs/>
          <w:color w:val="auto"/>
          <w:sz w:val="22"/>
          <w:szCs w:val="22"/>
        </w:rPr>
        <w:t xml:space="preserve"> - Ley 489 de 1998, Un desafío para la administración pública - Carlos Ariel Sánchez Torres - Profesor Investigador Máster de la Universidad del Rosario</w:t>
      </w:r>
    </w:p>
    <w:p w14:paraId="11881B43" w14:textId="1982E6FE" w:rsidR="00005823" w:rsidRDefault="00005823" w:rsidP="00005823">
      <w:pPr>
        <w:pStyle w:val="Sinespaciado"/>
        <w:ind w:left="360"/>
        <w:jc w:val="both"/>
        <w:rPr>
          <w:rFonts w:ascii="Arial" w:hAnsi="Arial" w:cs="Arial"/>
        </w:rPr>
      </w:pPr>
    </w:p>
    <w:p w14:paraId="4DE46142" w14:textId="4D7409A7" w:rsidR="00005823" w:rsidRDefault="00005823" w:rsidP="00005823">
      <w:pPr>
        <w:pStyle w:val="Sinespaciado"/>
        <w:ind w:left="360"/>
        <w:jc w:val="both"/>
        <w:rPr>
          <w:rFonts w:ascii="Arial" w:hAnsi="Arial" w:cs="Arial"/>
        </w:rPr>
      </w:pPr>
    </w:p>
    <w:p w14:paraId="1D42069F" w14:textId="4C2EAC3D" w:rsidR="001724AC" w:rsidRDefault="002F1B06" w:rsidP="002F1B06">
      <w:pPr>
        <w:pStyle w:val="Sinespaciado"/>
        <w:numPr>
          <w:ilvl w:val="0"/>
          <w:numId w:val="14"/>
        </w:numPr>
        <w:ind w:left="426" w:hanging="426"/>
        <w:rPr>
          <w:rFonts w:ascii="Arial" w:hAnsi="Arial" w:cs="Arial"/>
          <w:b/>
          <w:bCs/>
        </w:rPr>
      </w:pPr>
      <w:r w:rsidRPr="002F1B06">
        <w:rPr>
          <w:rFonts w:ascii="Arial" w:hAnsi="Arial" w:cs="Arial"/>
          <w:b/>
          <w:bCs/>
        </w:rPr>
        <w:t xml:space="preserve">Aprobación del documento </w:t>
      </w:r>
    </w:p>
    <w:p w14:paraId="663F3F4F" w14:textId="77777777" w:rsidR="00005823" w:rsidRDefault="00005823" w:rsidP="009A39D4">
      <w:pPr>
        <w:pStyle w:val="Sinespaciado"/>
        <w:ind w:left="426"/>
        <w:rPr>
          <w:rFonts w:ascii="Arial" w:hAnsi="Arial" w:cs="Arial"/>
          <w:b/>
          <w:bCs/>
        </w:rPr>
      </w:pPr>
    </w:p>
    <w:tbl>
      <w:tblPr>
        <w:tblStyle w:val="Tablaconcuadrcula"/>
        <w:tblW w:w="9072" w:type="dxa"/>
        <w:jc w:val="center"/>
        <w:tblLook w:val="04A0" w:firstRow="1" w:lastRow="0" w:firstColumn="1" w:lastColumn="0" w:noHBand="0" w:noVBand="1"/>
      </w:tblPr>
      <w:tblGrid>
        <w:gridCol w:w="937"/>
        <w:gridCol w:w="3032"/>
        <w:gridCol w:w="2694"/>
        <w:gridCol w:w="2409"/>
      </w:tblGrid>
      <w:tr w:rsidR="002B747A" w:rsidRPr="00B32751" w14:paraId="58BC3EDD" w14:textId="77777777" w:rsidTr="0026044E">
        <w:trPr>
          <w:trHeight w:val="20"/>
          <w:jc w:val="center"/>
        </w:trPr>
        <w:tc>
          <w:tcPr>
            <w:tcW w:w="937" w:type="dxa"/>
            <w:tcBorders>
              <w:top w:val="nil"/>
              <w:left w:val="nil"/>
              <w:bottom w:val="single" w:sz="4" w:space="0" w:color="auto"/>
              <w:right w:val="single" w:sz="4" w:space="0" w:color="auto"/>
            </w:tcBorders>
            <w:vAlign w:val="center"/>
          </w:tcPr>
          <w:p w14:paraId="56D6C625" w14:textId="77777777" w:rsidR="009A39D4" w:rsidRPr="00B32751" w:rsidRDefault="009A39D4" w:rsidP="00637258">
            <w:pPr>
              <w:jc w:val="both"/>
              <w:rPr>
                <w:rFonts w:ascii="Arial" w:hAnsi="Arial" w:cs="Arial"/>
                <w:sz w:val="16"/>
              </w:rPr>
            </w:pPr>
          </w:p>
        </w:tc>
        <w:tc>
          <w:tcPr>
            <w:tcW w:w="3032" w:type="dxa"/>
            <w:tcBorders>
              <w:left w:val="single" w:sz="4" w:space="0" w:color="auto"/>
            </w:tcBorders>
            <w:vAlign w:val="center"/>
          </w:tcPr>
          <w:p w14:paraId="087C5A41" w14:textId="77777777" w:rsidR="009A39D4" w:rsidRPr="002B747A" w:rsidRDefault="009A39D4" w:rsidP="0026044E">
            <w:pPr>
              <w:spacing w:after="0" w:line="240" w:lineRule="auto"/>
              <w:jc w:val="center"/>
              <w:rPr>
                <w:rFonts w:ascii="Arial" w:hAnsi="Arial" w:cs="Arial"/>
                <w:sz w:val="18"/>
                <w:szCs w:val="18"/>
              </w:rPr>
            </w:pPr>
            <w:r w:rsidRPr="002B747A">
              <w:rPr>
                <w:rFonts w:ascii="Arial" w:hAnsi="Arial" w:cs="Arial"/>
                <w:sz w:val="18"/>
                <w:szCs w:val="18"/>
              </w:rPr>
              <w:t>Elaboró</w:t>
            </w:r>
          </w:p>
        </w:tc>
        <w:tc>
          <w:tcPr>
            <w:tcW w:w="2694" w:type="dxa"/>
            <w:vAlign w:val="center"/>
          </w:tcPr>
          <w:p w14:paraId="259F16CD" w14:textId="77777777" w:rsidR="009A39D4" w:rsidRPr="002B747A" w:rsidRDefault="009A39D4" w:rsidP="0026044E">
            <w:pPr>
              <w:spacing w:after="0" w:line="240" w:lineRule="auto"/>
              <w:jc w:val="center"/>
              <w:rPr>
                <w:rFonts w:ascii="Arial" w:hAnsi="Arial" w:cs="Arial"/>
                <w:sz w:val="18"/>
                <w:szCs w:val="18"/>
              </w:rPr>
            </w:pPr>
            <w:r w:rsidRPr="002B747A">
              <w:rPr>
                <w:rFonts w:ascii="Arial" w:hAnsi="Arial" w:cs="Arial"/>
                <w:sz w:val="18"/>
                <w:szCs w:val="18"/>
              </w:rPr>
              <w:t>Revisó</w:t>
            </w:r>
          </w:p>
        </w:tc>
        <w:tc>
          <w:tcPr>
            <w:tcW w:w="2409" w:type="dxa"/>
            <w:vAlign w:val="center"/>
          </w:tcPr>
          <w:p w14:paraId="633A903C" w14:textId="77777777" w:rsidR="009A39D4" w:rsidRPr="002B747A" w:rsidRDefault="009A39D4" w:rsidP="0026044E">
            <w:pPr>
              <w:spacing w:after="0" w:line="240" w:lineRule="auto"/>
              <w:jc w:val="center"/>
              <w:rPr>
                <w:rFonts w:ascii="Arial" w:hAnsi="Arial" w:cs="Arial"/>
                <w:sz w:val="18"/>
                <w:szCs w:val="18"/>
              </w:rPr>
            </w:pPr>
            <w:r w:rsidRPr="002B747A">
              <w:rPr>
                <w:rFonts w:ascii="Arial" w:hAnsi="Arial" w:cs="Arial"/>
                <w:sz w:val="18"/>
                <w:szCs w:val="18"/>
              </w:rPr>
              <w:t>Aprobó</w:t>
            </w:r>
          </w:p>
        </w:tc>
      </w:tr>
      <w:tr w:rsidR="002B747A" w:rsidRPr="00B32751" w14:paraId="41904A5D" w14:textId="77777777" w:rsidTr="0026044E">
        <w:trPr>
          <w:trHeight w:val="1474"/>
          <w:jc w:val="center"/>
        </w:trPr>
        <w:tc>
          <w:tcPr>
            <w:tcW w:w="937" w:type="dxa"/>
            <w:tcBorders>
              <w:top w:val="single" w:sz="4" w:space="0" w:color="auto"/>
            </w:tcBorders>
            <w:vAlign w:val="center"/>
          </w:tcPr>
          <w:p w14:paraId="48C481CC" w14:textId="77777777" w:rsidR="009A39D4" w:rsidRPr="00B32751" w:rsidRDefault="009A39D4" w:rsidP="00637258">
            <w:pPr>
              <w:jc w:val="both"/>
              <w:rPr>
                <w:rFonts w:ascii="Arial" w:hAnsi="Arial" w:cs="Arial"/>
                <w:sz w:val="16"/>
              </w:rPr>
            </w:pPr>
            <w:r w:rsidRPr="00B32751">
              <w:rPr>
                <w:rFonts w:ascii="Arial" w:hAnsi="Arial" w:cs="Arial"/>
                <w:sz w:val="16"/>
              </w:rPr>
              <w:t>Nombre</w:t>
            </w:r>
          </w:p>
        </w:tc>
        <w:tc>
          <w:tcPr>
            <w:tcW w:w="3032" w:type="dxa"/>
            <w:vAlign w:val="center"/>
          </w:tcPr>
          <w:p w14:paraId="5AAE1AAF" w14:textId="709876F7" w:rsidR="002B747A" w:rsidRPr="002B747A" w:rsidRDefault="002B747A" w:rsidP="002B747A">
            <w:pPr>
              <w:spacing w:after="0" w:line="240" w:lineRule="auto"/>
              <w:jc w:val="center"/>
              <w:rPr>
                <w:rFonts w:ascii="Arial" w:hAnsi="Arial" w:cs="Arial"/>
                <w:sz w:val="18"/>
                <w:szCs w:val="18"/>
              </w:rPr>
            </w:pPr>
            <w:r w:rsidRPr="002B747A">
              <w:rPr>
                <w:rFonts w:ascii="Arial" w:hAnsi="Arial" w:cs="Arial"/>
                <w:sz w:val="18"/>
                <w:szCs w:val="18"/>
              </w:rPr>
              <w:t>Teresa Victoria Dávila Sanabria</w:t>
            </w:r>
          </w:p>
          <w:p w14:paraId="2418C89C" w14:textId="7564499E" w:rsidR="002B747A" w:rsidRPr="002B747A" w:rsidRDefault="002B747A" w:rsidP="002B747A">
            <w:pPr>
              <w:spacing w:after="0" w:line="240" w:lineRule="auto"/>
              <w:jc w:val="center"/>
              <w:rPr>
                <w:rFonts w:ascii="Arial" w:hAnsi="Arial" w:cs="Arial"/>
                <w:sz w:val="18"/>
                <w:szCs w:val="18"/>
              </w:rPr>
            </w:pPr>
            <w:r w:rsidRPr="002B747A">
              <w:rPr>
                <w:rFonts w:ascii="Arial" w:hAnsi="Arial" w:cs="Arial"/>
                <w:sz w:val="18"/>
                <w:szCs w:val="18"/>
              </w:rPr>
              <w:t>Laura patricia Saavedra Alarcón</w:t>
            </w:r>
          </w:p>
          <w:p w14:paraId="04AA7DC6" w14:textId="678E570A" w:rsidR="002B747A" w:rsidRPr="002B747A" w:rsidRDefault="002B747A" w:rsidP="002B747A">
            <w:pPr>
              <w:spacing w:after="0" w:line="240" w:lineRule="auto"/>
              <w:jc w:val="center"/>
              <w:rPr>
                <w:rFonts w:ascii="Arial" w:hAnsi="Arial" w:cs="Arial"/>
                <w:sz w:val="18"/>
                <w:szCs w:val="18"/>
              </w:rPr>
            </w:pPr>
            <w:r w:rsidRPr="002B747A">
              <w:rPr>
                <w:rFonts w:ascii="Arial" w:hAnsi="Arial" w:cs="Arial"/>
                <w:sz w:val="18"/>
                <w:szCs w:val="18"/>
              </w:rPr>
              <w:t>Tania Elena Esteban Ariza</w:t>
            </w:r>
          </w:p>
          <w:p w14:paraId="1BA7B527" w14:textId="77777777" w:rsidR="002B747A" w:rsidRPr="002B747A" w:rsidRDefault="002B747A" w:rsidP="002B747A">
            <w:pPr>
              <w:spacing w:after="0" w:line="240" w:lineRule="auto"/>
              <w:jc w:val="center"/>
              <w:rPr>
                <w:rFonts w:ascii="Arial" w:hAnsi="Arial" w:cs="Arial"/>
                <w:sz w:val="18"/>
                <w:szCs w:val="18"/>
              </w:rPr>
            </w:pPr>
            <w:r w:rsidRPr="002B747A">
              <w:rPr>
                <w:rFonts w:ascii="Arial" w:hAnsi="Arial" w:cs="Arial"/>
                <w:sz w:val="18"/>
                <w:szCs w:val="18"/>
              </w:rPr>
              <w:t>Sofy Lorena Arenas Vera</w:t>
            </w:r>
          </w:p>
          <w:p w14:paraId="0BDD50B1" w14:textId="77777777" w:rsidR="002B747A" w:rsidRPr="002B747A" w:rsidRDefault="002B747A" w:rsidP="002B747A">
            <w:pPr>
              <w:spacing w:after="0" w:line="240" w:lineRule="auto"/>
              <w:jc w:val="center"/>
              <w:rPr>
                <w:rFonts w:ascii="Arial" w:hAnsi="Arial" w:cs="Arial"/>
                <w:sz w:val="18"/>
                <w:szCs w:val="18"/>
              </w:rPr>
            </w:pPr>
            <w:r w:rsidRPr="002B747A">
              <w:rPr>
                <w:rFonts w:ascii="Arial" w:hAnsi="Arial" w:cs="Arial"/>
                <w:sz w:val="18"/>
                <w:szCs w:val="18"/>
              </w:rPr>
              <w:t>Helena Patricia Lancheros Durán</w:t>
            </w:r>
          </w:p>
          <w:p w14:paraId="5A880C29" w14:textId="5CDE08A9" w:rsidR="009A39D4" w:rsidRPr="002B747A" w:rsidRDefault="002B747A" w:rsidP="0026044E">
            <w:pPr>
              <w:spacing w:after="0" w:line="240" w:lineRule="auto"/>
              <w:jc w:val="center"/>
              <w:rPr>
                <w:rFonts w:ascii="Arial" w:hAnsi="Arial" w:cs="Arial"/>
                <w:iCs/>
                <w:sz w:val="18"/>
                <w:szCs w:val="18"/>
              </w:rPr>
            </w:pPr>
            <w:r w:rsidRPr="002B747A">
              <w:rPr>
                <w:rFonts w:ascii="Arial" w:hAnsi="Arial" w:cs="Arial"/>
                <w:sz w:val="18"/>
                <w:szCs w:val="18"/>
              </w:rPr>
              <w:t xml:space="preserve">David Andrés Moncayo </w:t>
            </w:r>
            <w:proofErr w:type="spellStart"/>
            <w:r w:rsidRPr="002B747A">
              <w:rPr>
                <w:rFonts w:ascii="Arial" w:hAnsi="Arial" w:cs="Arial"/>
                <w:sz w:val="18"/>
                <w:szCs w:val="18"/>
              </w:rPr>
              <w:t>Nastar</w:t>
            </w:r>
            <w:proofErr w:type="spellEnd"/>
          </w:p>
        </w:tc>
        <w:tc>
          <w:tcPr>
            <w:tcW w:w="2694" w:type="dxa"/>
            <w:vAlign w:val="center"/>
          </w:tcPr>
          <w:p w14:paraId="5EF112A5" w14:textId="53CBC981" w:rsidR="009A39D4" w:rsidRPr="002B747A" w:rsidRDefault="002B747A" w:rsidP="002B747A">
            <w:pPr>
              <w:spacing w:after="0" w:line="240" w:lineRule="auto"/>
              <w:jc w:val="center"/>
              <w:rPr>
                <w:rFonts w:ascii="Arial" w:hAnsi="Arial" w:cs="Arial"/>
                <w:iCs/>
                <w:sz w:val="18"/>
                <w:szCs w:val="18"/>
              </w:rPr>
            </w:pPr>
            <w:r w:rsidRPr="002B747A">
              <w:rPr>
                <w:rFonts w:ascii="Arial" w:hAnsi="Arial" w:cs="Arial"/>
                <w:sz w:val="18"/>
                <w:szCs w:val="18"/>
              </w:rPr>
              <w:t>Viviana Lucía Mendoza Hortúa</w:t>
            </w:r>
          </w:p>
        </w:tc>
        <w:tc>
          <w:tcPr>
            <w:tcW w:w="2409" w:type="dxa"/>
            <w:vAlign w:val="center"/>
          </w:tcPr>
          <w:p w14:paraId="0039B98F" w14:textId="119938E5" w:rsidR="009A39D4" w:rsidRPr="002B747A" w:rsidRDefault="002B747A" w:rsidP="002B747A">
            <w:pPr>
              <w:tabs>
                <w:tab w:val="num" w:pos="-360"/>
              </w:tabs>
              <w:spacing w:after="0" w:line="240" w:lineRule="auto"/>
              <w:jc w:val="center"/>
              <w:rPr>
                <w:rFonts w:ascii="Arial" w:hAnsi="Arial" w:cs="Arial"/>
                <w:iCs/>
                <w:sz w:val="18"/>
                <w:szCs w:val="18"/>
              </w:rPr>
            </w:pPr>
            <w:r w:rsidRPr="002B747A">
              <w:rPr>
                <w:rFonts w:ascii="Arial" w:hAnsi="Arial" w:cs="Arial"/>
                <w:iCs/>
                <w:sz w:val="18"/>
                <w:szCs w:val="18"/>
              </w:rPr>
              <w:t>Diana Larisa Caruso López</w:t>
            </w:r>
          </w:p>
        </w:tc>
      </w:tr>
      <w:tr w:rsidR="002B747A" w:rsidRPr="00B32751" w14:paraId="52E02477" w14:textId="77777777" w:rsidTr="0026044E">
        <w:trPr>
          <w:trHeight w:val="964"/>
          <w:jc w:val="center"/>
        </w:trPr>
        <w:tc>
          <w:tcPr>
            <w:tcW w:w="937" w:type="dxa"/>
            <w:vAlign w:val="center"/>
          </w:tcPr>
          <w:p w14:paraId="57819A17" w14:textId="77777777" w:rsidR="009A39D4" w:rsidRPr="00B32751" w:rsidRDefault="009A39D4" w:rsidP="00637258">
            <w:pPr>
              <w:jc w:val="both"/>
              <w:rPr>
                <w:rFonts w:ascii="Arial" w:hAnsi="Arial" w:cs="Arial"/>
                <w:sz w:val="16"/>
              </w:rPr>
            </w:pPr>
            <w:r w:rsidRPr="00B32751">
              <w:rPr>
                <w:rFonts w:ascii="Arial" w:hAnsi="Arial" w:cs="Arial"/>
                <w:sz w:val="16"/>
              </w:rPr>
              <w:t>Cargo/Rol</w:t>
            </w:r>
          </w:p>
        </w:tc>
        <w:tc>
          <w:tcPr>
            <w:tcW w:w="3032" w:type="dxa"/>
            <w:vAlign w:val="center"/>
          </w:tcPr>
          <w:p w14:paraId="16B381E7" w14:textId="77777777" w:rsidR="0014592C" w:rsidRDefault="002B747A" w:rsidP="002B747A">
            <w:pPr>
              <w:spacing w:after="0" w:line="240" w:lineRule="auto"/>
              <w:jc w:val="center"/>
              <w:rPr>
                <w:rFonts w:ascii="Arial" w:hAnsi="Arial" w:cs="Arial"/>
                <w:iCs/>
                <w:sz w:val="18"/>
                <w:szCs w:val="18"/>
              </w:rPr>
            </w:pPr>
            <w:r w:rsidRPr="002B747A">
              <w:rPr>
                <w:rFonts w:ascii="Arial" w:hAnsi="Arial" w:cs="Arial"/>
                <w:iCs/>
                <w:sz w:val="18"/>
                <w:szCs w:val="18"/>
              </w:rPr>
              <w:t xml:space="preserve">Contratistas Subdirección de Diseño, Evaluación y Sistematización </w:t>
            </w:r>
          </w:p>
          <w:p w14:paraId="6B7616E8" w14:textId="5F714010" w:rsidR="009A39D4" w:rsidRPr="002B747A" w:rsidRDefault="0014592C" w:rsidP="002B747A">
            <w:pPr>
              <w:spacing w:after="0" w:line="240" w:lineRule="auto"/>
              <w:jc w:val="center"/>
              <w:rPr>
                <w:rFonts w:ascii="Arial" w:hAnsi="Arial" w:cs="Arial"/>
                <w:iCs/>
                <w:sz w:val="18"/>
                <w:szCs w:val="18"/>
              </w:rPr>
            </w:pPr>
            <w:r>
              <w:rPr>
                <w:rFonts w:ascii="Arial" w:hAnsi="Arial" w:cs="Arial"/>
                <w:iCs/>
                <w:sz w:val="18"/>
                <w:szCs w:val="18"/>
              </w:rPr>
              <w:t>Equipo SG - MIPG</w:t>
            </w:r>
          </w:p>
        </w:tc>
        <w:tc>
          <w:tcPr>
            <w:tcW w:w="2694" w:type="dxa"/>
            <w:vAlign w:val="center"/>
          </w:tcPr>
          <w:p w14:paraId="7CACA993" w14:textId="4CFF1A7A" w:rsidR="009A39D4" w:rsidRPr="002B747A" w:rsidRDefault="002B747A" w:rsidP="002B747A">
            <w:pPr>
              <w:spacing w:after="0" w:line="240" w:lineRule="auto"/>
              <w:jc w:val="center"/>
              <w:rPr>
                <w:rFonts w:ascii="Arial" w:hAnsi="Arial" w:cs="Arial"/>
                <w:iCs/>
                <w:sz w:val="18"/>
                <w:szCs w:val="18"/>
              </w:rPr>
            </w:pPr>
            <w:r w:rsidRPr="002B747A">
              <w:rPr>
                <w:rFonts w:ascii="Arial" w:hAnsi="Arial" w:cs="Arial"/>
                <w:iCs/>
                <w:sz w:val="18"/>
                <w:szCs w:val="18"/>
              </w:rPr>
              <w:t xml:space="preserve">Contratista </w:t>
            </w:r>
            <w:r w:rsidR="009A39D4" w:rsidRPr="002B747A">
              <w:rPr>
                <w:rFonts w:ascii="Arial" w:hAnsi="Arial" w:cs="Arial"/>
                <w:iCs/>
                <w:sz w:val="18"/>
                <w:szCs w:val="18"/>
              </w:rPr>
              <w:t>Gestora SG</w:t>
            </w:r>
            <w:r w:rsidRPr="002B747A">
              <w:rPr>
                <w:rFonts w:ascii="Arial" w:hAnsi="Arial" w:cs="Arial"/>
                <w:iCs/>
                <w:sz w:val="18"/>
                <w:szCs w:val="18"/>
              </w:rPr>
              <w:t xml:space="preserve"> </w:t>
            </w:r>
            <w:r w:rsidR="00AD0647">
              <w:rPr>
                <w:rFonts w:ascii="Arial" w:hAnsi="Arial" w:cs="Arial"/>
                <w:iCs/>
                <w:sz w:val="18"/>
                <w:szCs w:val="18"/>
              </w:rPr>
              <w:t>p</w:t>
            </w:r>
            <w:r w:rsidRPr="002B747A">
              <w:rPr>
                <w:rFonts w:ascii="Arial" w:hAnsi="Arial" w:cs="Arial"/>
                <w:iCs/>
                <w:sz w:val="18"/>
                <w:szCs w:val="18"/>
              </w:rPr>
              <w:t>roceso Gestión del Sistema Integrado</w:t>
            </w:r>
          </w:p>
        </w:tc>
        <w:tc>
          <w:tcPr>
            <w:tcW w:w="2409" w:type="dxa"/>
            <w:vAlign w:val="center"/>
          </w:tcPr>
          <w:p w14:paraId="1DF81F94" w14:textId="3D0FFD9F" w:rsidR="002B747A" w:rsidRPr="002B747A" w:rsidRDefault="002B747A" w:rsidP="002B747A">
            <w:pPr>
              <w:tabs>
                <w:tab w:val="num" w:pos="-360"/>
              </w:tabs>
              <w:spacing w:after="0" w:line="240" w:lineRule="auto"/>
              <w:jc w:val="center"/>
              <w:rPr>
                <w:rFonts w:ascii="Arial" w:hAnsi="Arial" w:cs="Arial"/>
                <w:iCs/>
                <w:sz w:val="18"/>
                <w:szCs w:val="18"/>
              </w:rPr>
            </w:pPr>
            <w:r w:rsidRPr="002B747A">
              <w:rPr>
                <w:rFonts w:ascii="Arial" w:hAnsi="Arial" w:cs="Arial"/>
                <w:iCs/>
                <w:sz w:val="18"/>
                <w:szCs w:val="18"/>
              </w:rPr>
              <w:t>Subdirectora de Diseño, Evaluación y Sistematización</w:t>
            </w:r>
          </w:p>
        </w:tc>
      </w:tr>
    </w:tbl>
    <w:p w14:paraId="34FA8960" w14:textId="0BF3D7A3" w:rsidR="009A39D4" w:rsidRPr="009A39D4" w:rsidRDefault="009A39D4" w:rsidP="009A39D4"/>
    <w:sectPr w:rsidR="009A39D4" w:rsidRPr="009A39D4" w:rsidSect="0026044E">
      <w:headerReference w:type="default" r:id="rId36"/>
      <w:pgSz w:w="12240" w:h="15840"/>
      <w:pgMar w:top="1417" w:right="1701" w:bottom="1276" w:left="1701"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D4CCC" w14:textId="77777777" w:rsidR="0051052A" w:rsidRDefault="0051052A" w:rsidP="00EB3518">
      <w:pPr>
        <w:spacing w:after="0" w:line="240" w:lineRule="auto"/>
      </w:pPr>
      <w:r>
        <w:separator/>
      </w:r>
    </w:p>
  </w:endnote>
  <w:endnote w:type="continuationSeparator" w:id="0">
    <w:p w14:paraId="52227700" w14:textId="77777777" w:rsidR="0051052A" w:rsidRDefault="0051052A" w:rsidP="00EB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DBBF6" w14:textId="77777777" w:rsidR="0051052A" w:rsidRDefault="0051052A" w:rsidP="00EB3518">
      <w:pPr>
        <w:spacing w:after="0" w:line="240" w:lineRule="auto"/>
      </w:pPr>
      <w:r>
        <w:separator/>
      </w:r>
    </w:p>
  </w:footnote>
  <w:footnote w:type="continuationSeparator" w:id="0">
    <w:p w14:paraId="21F7E03F" w14:textId="77777777" w:rsidR="0051052A" w:rsidRDefault="0051052A" w:rsidP="00EB3518">
      <w:pPr>
        <w:spacing w:after="0" w:line="240" w:lineRule="auto"/>
      </w:pPr>
      <w:r>
        <w:continuationSeparator/>
      </w:r>
    </w:p>
  </w:footnote>
  <w:footnote w:id="1">
    <w:p w14:paraId="1DBBEA83" w14:textId="77777777" w:rsidR="00A36758" w:rsidRPr="00AD0CE6" w:rsidRDefault="00A36758" w:rsidP="008A7E7D">
      <w:pPr>
        <w:pStyle w:val="Textonotapie"/>
        <w:jc w:val="both"/>
        <w:rPr>
          <w:rFonts w:ascii="Arial" w:hAnsi="Arial" w:cs="Arial"/>
          <w:sz w:val="16"/>
          <w:szCs w:val="16"/>
        </w:rPr>
      </w:pPr>
      <w:r w:rsidRPr="00AD0CE6">
        <w:rPr>
          <w:rStyle w:val="Refdenotaalpie"/>
          <w:rFonts w:ascii="Arial" w:hAnsi="Arial" w:cs="Arial"/>
          <w:sz w:val="16"/>
          <w:szCs w:val="16"/>
        </w:rPr>
        <w:footnoteRef/>
      </w:r>
      <w:r w:rsidRPr="00AD0CE6">
        <w:rPr>
          <w:rFonts w:ascii="Arial" w:hAnsi="Arial" w:cs="Arial"/>
          <w:sz w:val="16"/>
          <w:szCs w:val="16"/>
        </w:rPr>
        <w:t xml:space="preserve">  “Por medio del cual se modifica el Decreto 1083 de 2015, Decreto Único Reglamentario del Sector Función Pública, en lo relacionado con el Sistema de Gestión establecido en el artículo 133 de la Ley 1753 de 2015”</w:t>
      </w:r>
    </w:p>
  </w:footnote>
  <w:footnote w:id="2">
    <w:p w14:paraId="4D206E71" w14:textId="77777777" w:rsidR="00A36758" w:rsidRPr="00AD0CE6" w:rsidRDefault="00A36758" w:rsidP="008A7E7D">
      <w:pPr>
        <w:pStyle w:val="Textonotapie"/>
        <w:rPr>
          <w:rFonts w:ascii="Arial" w:hAnsi="Arial" w:cs="Arial"/>
          <w:sz w:val="16"/>
          <w:szCs w:val="16"/>
        </w:rPr>
      </w:pPr>
      <w:r w:rsidRPr="00AD0CE6">
        <w:rPr>
          <w:rStyle w:val="Refdenotaalpie"/>
          <w:rFonts w:ascii="Arial" w:hAnsi="Arial" w:cs="Arial"/>
          <w:sz w:val="16"/>
          <w:szCs w:val="16"/>
        </w:rPr>
        <w:footnoteRef/>
      </w:r>
      <w:r w:rsidRPr="00AD0CE6">
        <w:rPr>
          <w:rFonts w:ascii="Arial" w:hAnsi="Arial" w:cs="Arial"/>
          <w:sz w:val="16"/>
          <w:szCs w:val="16"/>
        </w:rPr>
        <w:t xml:space="preserve"> "Por medio del cual se adopta el Modelo Integrado de Planeación y Gestión Nacional y se dictan otras disposiciones"</w:t>
      </w:r>
    </w:p>
  </w:footnote>
  <w:footnote w:id="3">
    <w:p w14:paraId="7039D07F" w14:textId="77777777" w:rsidR="00A36758" w:rsidRPr="00AF4A73" w:rsidRDefault="00A36758" w:rsidP="008A7E7D">
      <w:pPr>
        <w:pStyle w:val="Textonotapie"/>
        <w:rPr>
          <w:rFonts w:asciiTheme="minorHAnsi" w:hAnsiTheme="minorHAnsi" w:cstheme="minorHAnsi"/>
          <w:sz w:val="16"/>
          <w:szCs w:val="16"/>
        </w:rPr>
      </w:pPr>
      <w:r w:rsidRPr="00AD0CE6">
        <w:rPr>
          <w:rStyle w:val="Refdenotaalpie"/>
          <w:rFonts w:ascii="Arial" w:hAnsi="Arial" w:cs="Arial"/>
          <w:sz w:val="16"/>
          <w:szCs w:val="16"/>
        </w:rPr>
        <w:footnoteRef/>
      </w:r>
      <w:r w:rsidRPr="00AD0CE6">
        <w:rPr>
          <w:rFonts w:ascii="Arial" w:hAnsi="Arial" w:cs="Arial"/>
          <w:sz w:val="16"/>
          <w:szCs w:val="16"/>
        </w:rPr>
        <w:t xml:space="preserve"> "Por medio del cual se reglamenta el Sistema de Gestión en e/Distrito Capital y se dictan otras disposiciones"</w:t>
      </w:r>
    </w:p>
  </w:footnote>
  <w:footnote w:id="4">
    <w:p w14:paraId="7500841B" w14:textId="77777777" w:rsidR="00A36758" w:rsidRPr="00AB728B" w:rsidRDefault="00A36758" w:rsidP="008A7E7D">
      <w:pPr>
        <w:pStyle w:val="Textonotapie"/>
        <w:rPr>
          <w:rFonts w:ascii="Arial" w:hAnsi="Arial" w:cs="Arial"/>
          <w:sz w:val="16"/>
          <w:szCs w:val="16"/>
        </w:rPr>
      </w:pPr>
      <w:r>
        <w:rPr>
          <w:rStyle w:val="Refdenotaalpie"/>
        </w:rPr>
        <w:footnoteRef/>
      </w:r>
      <w:r>
        <w:t xml:space="preserve"> “</w:t>
      </w:r>
      <w:r w:rsidRPr="00AB728B">
        <w:rPr>
          <w:rFonts w:ascii="Arial" w:hAnsi="Arial" w:cs="Arial"/>
          <w:sz w:val="16"/>
          <w:szCs w:val="16"/>
        </w:rPr>
        <w:t>Por la cual se crea el Comité Institucional de Gestión y Desempeño de la Secretaría Distrital de Integración Social y se dictan otras disposiciones”</w:t>
      </w:r>
    </w:p>
  </w:footnote>
  <w:footnote w:id="5">
    <w:p w14:paraId="2FD8F646" w14:textId="77777777" w:rsidR="00A36758" w:rsidRPr="008C7CBA" w:rsidRDefault="00A36758" w:rsidP="008A7E7D">
      <w:pPr>
        <w:pStyle w:val="Textonotapie"/>
        <w:rPr>
          <w:rFonts w:ascii="Arial" w:hAnsi="Arial" w:cs="Arial"/>
          <w:sz w:val="16"/>
          <w:szCs w:val="16"/>
        </w:rPr>
      </w:pPr>
      <w:r w:rsidRPr="008C7CBA">
        <w:rPr>
          <w:rStyle w:val="Refdenotaalpie"/>
          <w:rFonts w:ascii="Arial" w:hAnsi="Arial" w:cs="Arial"/>
          <w:sz w:val="16"/>
          <w:szCs w:val="16"/>
        </w:rPr>
        <w:footnoteRef/>
      </w:r>
      <w:r w:rsidRPr="008C7CBA">
        <w:rPr>
          <w:rFonts w:ascii="Arial" w:hAnsi="Arial" w:cs="Arial"/>
          <w:sz w:val="16"/>
          <w:szCs w:val="16"/>
        </w:rPr>
        <w:t xml:space="preserve"> “Por la cual se modifica la Resolución No. 0355 del 26 de febrero de 2019 “Por la cual se crea el Comité Institucional de Gestión y Desempeño de la Secretaría Distrital de Integración Social y se dictan otras disposiciones”</w:t>
      </w:r>
    </w:p>
  </w:footnote>
  <w:footnote w:id="6">
    <w:p w14:paraId="3AF2179E" w14:textId="6E3EC735" w:rsidR="00A36758" w:rsidRPr="00124107" w:rsidRDefault="00A36758" w:rsidP="009B1CF4">
      <w:pPr>
        <w:pStyle w:val="Textonotapie"/>
        <w:rPr>
          <w:rFonts w:ascii="Arial" w:hAnsi="Arial" w:cs="Arial"/>
          <w:sz w:val="16"/>
          <w:szCs w:val="16"/>
        </w:rPr>
      </w:pPr>
      <w:r w:rsidRPr="00124107">
        <w:rPr>
          <w:rStyle w:val="Refdenotaalpie"/>
          <w:rFonts w:ascii="Arial" w:hAnsi="Arial" w:cs="Arial"/>
          <w:sz w:val="16"/>
          <w:szCs w:val="16"/>
        </w:rPr>
        <w:footnoteRef/>
      </w:r>
      <w:r w:rsidRPr="00124107">
        <w:rPr>
          <w:rFonts w:ascii="Arial" w:hAnsi="Arial" w:cs="Arial"/>
          <w:sz w:val="16"/>
          <w:szCs w:val="16"/>
        </w:rPr>
        <w:t xml:space="preserve"> "Por la cual se ajusta el Sistema Integrado de Gesti</w:t>
      </w:r>
      <w:r>
        <w:rPr>
          <w:rFonts w:ascii="Arial" w:hAnsi="Arial" w:cs="Arial"/>
          <w:sz w:val="16"/>
          <w:szCs w:val="16"/>
        </w:rPr>
        <w:t>ó</w:t>
      </w:r>
      <w:r w:rsidRPr="00124107">
        <w:rPr>
          <w:rFonts w:ascii="Arial" w:hAnsi="Arial" w:cs="Arial"/>
          <w:sz w:val="16"/>
          <w:szCs w:val="16"/>
        </w:rPr>
        <w:t>n en la Secretaria Distrital de Integraci</w:t>
      </w:r>
      <w:r>
        <w:rPr>
          <w:rFonts w:ascii="Arial" w:hAnsi="Arial" w:cs="Arial"/>
          <w:sz w:val="16"/>
          <w:szCs w:val="16"/>
        </w:rPr>
        <w:t>ó</w:t>
      </w:r>
      <w:r w:rsidRPr="00124107">
        <w:rPr>
          <w:rFonts w:ascii="Arial" w:hAnsi="Arial" w:cs="Arial"/>
          <w:sz w:val="16"/>
          <w:szCs w:val="16"/>
        </w:rPr>
        <w:t>n Social y se deroga la Resoluci</w:t>
      </w:r>
      <w:r>
        <w:rPr>
          <w:rFonts w:ascii="Arial" w:hAnsi="Arial" w:cs="Arial"/>
          <w:sz w:val="16"/>
          <w:szCs w:val="16"/>
        </w:rPr>
        <w:t>ó</w:t>
      </w:r>
      <w:r w:rsidRPr="00124107">
        <w:rPr>
          <w:rFonts w:ascii="Arial" w:hAnsi="Arial" w:cs="Arial"/>
          <w:sz w:val="16"/>
          <w:szCs w:val="16"/>
        </w:rPr>
        <w:t xml:space="preserve">n </w:t>
      </w:r>
      <w:r>
        <w:rPr>
          <w:rFonts w:ascii="Arial" w:hAnsi="Arial" w:cs="Arial"/>
          <w:sz w:val="16"/>
          <w:szCs w:val="16"/>
        </w:rPr>
        <w:t>1</w:t>
      </w:r>
      <w:r w:rsidRPr="00124107">
        <w:rPr>
          <w:rFonts w:ascii="Arial" w:hAnsi="Arial" w:cs="Arial"/>
          <w:sz w:val="16"/>
          <w:szCs w:val="16"/>
        </w:rPr>
        <w:t xml:space="preserve">564 de 20 </w:t>
      </w:r>
      <w:r>
        <w:rPr>
          <w:rFonts w:ascii="Arial" w:hAnsi="Arial" w:cs="Arial"/>
          <w:sz w:val="16"/>
          <w:szCs w:val="16"/>
        </w:rPr>
        <w:t>1</w:t>
      </w:r>
      <w:r w:rsidRPr="00124107">
        <w:rPr>
          <w:rFonts w:ascii="Arial" w:hAnsi="Arial" w:cs="Arial"/>
          <w:sz w:val="16"/>
          <w:szCs w:val="16"/>
        </w:rPr>
        <w:t>0, la Resoluci</w:t>
      </w:r>
      <w:r>
        <w:rPr>
          <w:rFonts w:ascii="Arial" w:hAnsi="Arial" w:cs="Arial"/>
          <w:sz w:val="16"/>
          <w:szCs w:val="16"/>
        </w:rPr>
        <w:t>ó</w:t>
      </w:r>
      <w:r w:rsidRPr="00124107">
        <w:rPr>
          <w:rFonts w:ascii="Arial" w:hAnsi="Arial" w:cs="Arial"/>
          <w:sz w:val="16"/>
          <w:szCs w:val="16"/>
        </w:rPr>
        <w:t>n 0622 de 2014, la Resoluci</w:t>
      </w:r>
      <w:r>
        <w:rPr>
          <w:rFonts w:ascii="Arial" w:hAnsi="Arial" w:cs="Arial"/>
          <w:sz w:val="16"/>
          <w:szCs w:val="16"/>
        </w:rPr>
        <w:t>ó</w:t>
      </w:r>
      <w:r w:rsidRPr="00124107">
        <w:rPr>
          <w:rFonts w:ascii="Arial" w:hAnsi="Arial" w:cs="Arial"/>
          <w:sz w:val="16"/>
          <w:szCs w:val="16"/>
        </w:rPr>
        <w:t xml:space="preserve">n 0096 de 2015 y la </w:t>
      </w:r>
      <w:r w:rsidRPr="00005823">
        <w:rPr>
          <w:rFonts w:ascii="Arial" w:hAnsi="Arial" w:cs="Arial"/>
          <w:sz w:val="16"/>
          <w:szCs w:val="16"/>
        </w:rPr>
        <w:t xml:space="preserve">Resolución 0856 de </w:t>
      </w:r>
      <w:r w:rsidRPr="00124107">
        <w:rPr>
          <w:rFonts w:ascii="Arial" w:hAnsi="Arial" w:cs="Arial"/>
          <w:sz w:val="16"/>
          <w:szCs w:val="16"/>
        </w:rPr>
        <w:t>20 I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5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806"/>
    </w:tblGrid>
    <w:tr w:rsidR="00A36758" w:rsidRPr="00283D5A" w14:paraId="7264ADE8" w14:textId="77777777" w:rsidTr="005D33B5">
      <w:trPr>
        <w:cantSplit/>
        <w:trHeight w:val="437"/>
      </w:trPr>
      <w:tc>
        <w:tcPr>
          <w:tcW w:w="2518" w:type="dxa"/>
          <w:vMerge w:val="restart"/>
          <w:tcBorders>
            <w:right w:val="single" w:sz="4" w:space="0" w:color="auto"/>
          </w:tcBorders>
          <w:vAlign w:val="center"/>
        </w:tcPr>
        <w:p w14:paraId="5148BA73" w14:textId="5E1D1BFB" w:rsidR="00A36758" w:rsidRPr="00283D5A" w:rsidRDefault="00A36758" w:rsidP="00283D5A">
          <w:pPr>
            <w:tabs>
              <w:tab w:val="center" w:pos="4419"/>
              <w:tab w:val="right" w:pos="8838"/>
            </w:tabs>
            <w:spacing w:after="0" w:line="240" w:lineRule="auto"/>
            <w:jc w:val="center"/>
            <w:rPr>
              <w:rFonts w:ascii="Arial" w:hAnsi="Arial" w:cs="Arial"/>
            </w:rPr>
          </w:pPr>
          <w:r w:rsidRPr="00283D5A">
            <w:rPr>
              <w:rFonts w:ascii="Arial" w:hAnsi="Arial" w:cs="Arial"/>
              <w:noProof/>
              <w:lang w:val="en-US"/>
            </w:rPr>
            <w:drawing>
              <wp:inline distT="0" distB="0" distL="0" distR="0" wp14:anchorId="2047F351" wp14:editId="034E2B18">
                <wp:extent cx="1419225" cy="809625"/>
                <wp:effectExtent l="0" t="0" r="9525" b="9525"/>
                <wp:docPr id="15" name="Imagen 15"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6E25BE04" w14:textId="77777777" w:rsidR="00A36758" w:rsidRPr="00283D5A" w:rsidRDefault="00A36758" w:rsidP="00283D5A">
          <w:pPr>
            <w:tabs>
              <w:tab w:val="center" w:pos="4419"/>
              <w:tab w:val="right" w:pos="8838"/>
            </w:tabs>
            <w:spacing w:after="0" w:line="240" w:lineRule="auto"/>
            <w:jc w:val="center"/>
            <w:rPr>
              <w:rFonts w:ascii="Arial" w:hAnsi="Arial" w:cs="Arial"/>
              <w:bCs/>
              <w:sz w:val="18"/>
              <w:szCs w:val="18"/>
              <w:lang w:val="es-ES_tradnl"/>
            </w:rPr>
          </w:pPr>
          <w:r w:rsidRPr="00283D5A">
            <w:rPr>
              <w:rFonts w:ascii="Arial" w:hAnsi="Arial" w:cs="Arial"/>
              <w:sz w:val="18"/>
              <w:szCs w:val="18"/>
            </w:rPr>
            <w:fldChar w:fldCharType="begin"/>
          </w:r>
          <w:r w:rsidRPr="00283D5A">
            <w:rPr>
              <w:rFonts w:ascii="Arial" w:hAnsi="Arial" w:cs="Arial"/>
              <w:sz w:val="18"/>
              <w:szCs w:val="18"/>
            </w:rPr>
            <w:instrText xml:space="preserve"> MACROBUTTON  ActDesactEscrituraManual </w:instrText>
          </w:r>
          <w:r w:rsidRPr="00283D5A">
            <w:rPr>
              <w:rFonts w:ascii="Arial" w:hAnsi="Arial" w:cs="Arial"/>
              <w:sz w:val="18"/>
              <w:szCs w:val="18"/>
            </w:rPr>
            <w:fldChar w:fldCharType="end"/>
          </w:r>
          <w:r w:rsidRPr="00283D5A">
            <w:rPr>
              <w:rFonts w:ascii="Arial" w:hAnsi="Arial" w:cs="Arial"/>
              <w:sz w:val="18"/>
              <w:szCs w:val="18"/>
            </w:rPr>
            <w:fldChar w:fldCharType="begin"/>
          </w:r>
          <w:r w:rsidRPr="00283D5A">
            <w:rPr>
              <w:rFonts w:ascii="Arial" w:hAnsi="Arial" w:cs="Arial"/>
              <w:sz w:val="18"/>
              <w:szCs w:val="18"/>
            </w:rPr>
            <w:instrText xml:space="preserve"> MACROBUTTON  InsertarCampo </w:instrText>
          </w:r>
          <w:r w:rsidRPr="00283D5A">
            <w:rPr>
              <w:rFonts w:ascii="Arial" w:hAnsi="Arial" w:cs="Arial"/>
              <w:sz w:val="18"/>
              <w:szCs w:val="18"/>
            </w:rPr>
            <w:fldChar w:fldCharType="end"/>
          </w:r>
          <w:r w:rsidRPr="00283D5A">
            <w:rPr>
              <w:rFonts w:cs="Arial"/>
              <w:sz w:val="18"/>
              <w:szCs w:val="18"/>
            </w:rPr>
            <w:t xml:space="preserve"> </w:t>
          </w:r>
          <w:r w:rsidRPr="00283D5A">
            <w:rPr>
              <w:rFonts w:ascii="Arial" w:hAnsi="Arial" w:cs="Arial"/>
              <w:sz w:val="18"/>
              <w:szCs w:val="18"/>
            </w:rPr>
            <w:t>PROCESO GESTIÓN DEL SISTEMA INTEGRADO - SIG</w:t>
          </w:r>
        </w:p>
        <w:p w14:paraId="38F7A367" w14:textId="77777777" w:rsidR="00A36758" w:rsidRPr="00283D5A" w:rsidRDefault="00A36758" w:rsidP="00283D5A">
          <w:pPr>
            <w:spacing w:after="0" w:line="240" w:lineRule="auto"/>
            <w:ind w:left="360"/>
            <w:jc w:val="center"/>
            <w:rPr>
              <w:rFonts w:ascii="Arial" w:hAnsi="Arial" w:cs="Arial"/>
              <w:bCs/>
              <w:sz w:val="18"/>
              <w:szCs w:val="18"/>
              <w:lang w:val="es-ES_tradnl"/>
            </w:rPr>
          </w:pPr>
        </w:p>
        <w:p w14:paraId="0E863A64" w14:textId="1E0A071E" w:rsidR="00A36758" w:rsidRPr="00283D5A" w:rsidRDefault="00A36758" w:rsidP="00283D5A">
          <w:pPr>
            <w:pStyle w:val="Sinespaciado"/>
            <w:jc w:val="center"/>
            <w:rPr>
              <w:rFonts w:ascii="Arial" w:hAnsi="Arial" w:cs="Arial"/>
              <w:sz w:val="18"/>
              <w:szCs w:val="18"/>
            </w:rPr>
          </w:pPr>
          <w:r>
            <w:rPr>
              <w:rFonts w:ascii="Arial" w:hAnsi="Arial" w:cs="Arial"/>
              <w:sz w:val="18"/>
              <w:szCs w:val="18"/>
            </w:rPr>
            <w:t xml:space="preserve">PROGRAMA </w:t>
          </w:r>
          <w:r w:rsidRPr="00283D5A">
            <w:rPr>
              <w:rFonts w:ascii="Arial" w:hAnsi="Arial" w:cs="Arial"/>
              <w:sz w:val="18"/>
              <w:szCs w:val="18"/>
            </w:rPr>
            <w:t>IMPLEMENTACIÓN Y SOSTENIBILIDAD DEL SISTEMA DE GESTIÓN DE LA SECRETARÍA DISTRITAL DE INTEGRACIÓN SOCIAL</w:t>
          </w:r>
        </w:p>
        <w:p w14:paraId="0F447B51" w14:textId="4E7AC03B" w:rsidR="00A36758" w:rsidRPr="00283D5A" w:rsidRDefault="00A36758" w:rsidP="00283D5A">
          <w:pPr>
            <w:spacing w:after="0" w:line="240" w:lineRule="auto"/>
            <w:jc w:val="center"/>
            <w:rPr>
              <w:rFonts w:ascii="Arial" w:hAnsi="Arial" w:cs="Arial"/>
              <w:sz w:val="18"/>
              <w:szCs w:val="18"/>
            </w:rPr>
          </w:pPr>
          <w:r>
            <w:rPr>
              <w:rFonts w:ascii="Arial" w:hAnsi="Arial" w:cs="Arial"/>
              <w:sz w:val="18"/>
              <w:szCs w:val="18"/>
            </w:rPr>
            <w:t xml:space="preserve"> </w:t>
          </w:r>
        </w:p>
      </w:tc>
      <w:tc>
        <w:tcPr>
          <w:tcW w:w="2806" w:type="dxa"/>
          <w:tcBorders>
            <w:left w:val="single" w:sz="4" w:space="0" w:color="auto"/>
          </w:tcBorders>
          <w:vAlign w:val="center"/>
        </w:tcPr>
        <w:p w14:paraId="513B7E2F" w14:textId="6EA3738C" w:rsidR="00A36758" w:rsidRPr="00E41B5D" w:rsidRDefault="00A36758" w:rsidP="00283D5A">
          <w:pPr>
            <w:spacing w:after="0" w:line="240" w:lineRule="auto"/>
            <w:rPr>
              <w:rFonts w:ascii="Arial" w:hAnsi="Arial" w:cs="Arial"/>
              <w:sz w:val="18"/>
              <w:szCs w:val="18"/>
            </w:rPr>
          </w:pPr>
          <w:r w:rsidRPr="00283D5A">
            <w:rPr>
              <w:rFonts w:ascii="Arial" w:hAnsi="Arial" w:cs="Arial"/>
              <w:sz w:val="18"/>
              <w:szCs w:val="18"/>
            </w:rPr>
            <w:t>Código:</w:t>
          </w:r>
          <w:r w:rsidRPr="00E41B5D">
            <w:rPr>
              <w:rFonts w:ascii="Arial" w:hAnsi="Arial" w:cs="Arial"/>
              <w:sz w:val="18"/>
              <w:szCs w:val="18"/>
            </w:rPr>
            <w:t xml:space="preserve"> </w:t>
          </w:r>
          <w:r w:rsidR="00E41B5D" w:rsidRPr="00E41B5D">
            <w:rPr>
              <w:rFonts w:ascii="Arial" w:hAnsi="Arial" w:cs="Arial"/>
              <w:sz w:val="18"/>
              <w:szCs w:val="18"/>
            </w:rPr>
            <w:t>PGR-GS-001</w:t>
          </w:r>
        </w:p>
      </w:tc>
    </w:tr>
    <w:tr w:rsidR="00A36758" w:rsidRPr="00283D5A" w14:paraId="2D367848" w14:textId="77777777" w:rsidTr="005D33B5">
      <w:trPr>
        <w:cantSplit/>
        <w:trHeight w:val="454"/>
      </w:trPr>
      <w:tc>
        <w:tcPr>
          <w:tcW w:w="2518" w:type="dxa"/>
          <w:vMerge/>
          <w:tcBorders>
            <w:right w:val="single" w:sz="4" w:space="0" w:color="auto"/>
          </w:tcBorders>
        </w:tcPr>
        <w:p w14:paraId="1B709F82" w14:textId="77777777" w:rsidR="00A36758" w:rsidRPr="00283D5A" w:rsidRDefault="00A36758" w:rsidP="00283D5A">
          <w:pPr>
            <w:tabs>
              <w:tab w:val="center" w:pos="4419"/>
              <w:tab w:val="right" w:pos="8838"/>
            </w:tabs>
            <w:spacing w:after="0" w:line="240" w:lineRule="auto"/>
            <w:jc w:val="center"/>
            <w:rPr>
              <w:rFonts w:ascii="Arial" w:hAnsi="Arial" w:cs="Arial"/>
            </w:rPr>
          </w:pPr>
        </w:p>
      </w:tc>
      <w:tc>
        <w:tcPr>
          <w:tcW w:w="4140" w:type="dxa"/>
          <w:vMerge/>
          <w:tcBorders>
            <w:left w:val="single" w:sz="4" w:space="0" w:color="auto"/>
          </w:tcBorders>
        </w:tcPr>
        <w:p w14:paraId="4AA40C60" w14:textId="77777777" w:rsidR="00A36758" w:rsidRPr="00283D5A" w:rsidRDefault="00A36758" w:rsidP="00283D5A">
          <w:pPr>
            <w:tabs>
              <w:tab w:val="center" w:pos="4419"/>
              <w:tab w:val="right" w:pos="8838"/>
            </w:tabs>
            <w:spacing w:after="0" w:line="240" w:lineRule="auto"/>
            <w:jc w:val="center"/>
            <w:rPr>
              <w:rFonts w:ascii="Arial" w:hAnsi="Arial" w:cs="Arial"/>
              <w:sz w:val="18"/>
              <w:szCs w:val="18"/>
            </w:rPr>
          </w:pPr>
        </w:p>
      </w:tc>
      <w:tc>
        <w:tcPr>
          <w:tcW w:w="2806" w:type="dxa"/>
          <w:tcBorders>
            <w:left w:val="single" w:sz="4" w:space="0" w:color="auto"/>
          </w:tcBorders>
          <w:vAlign w:val="center"/>
        </w:tcPr>
        <w:p w14:paraId="127BAA07" w14:textId="77777777" w:rsidR="00A36758" w:rsidRPr="00283D5A" w:rsidRDefault="00A36758" w:rsidP="00E41B5D">
          <w:pPr>
            <w:spacing w:after="0" w:line="240" w:lineRule="auto"/>
            <w:rPr>
              <w:rFonts w:ascii="Arial" w:hAnsi="Arial" w:cs="Arial"/>
              <w:sz w:val="18"/>
              <w:szCs w:val="18"/>
            </w:rPr>
          </w:pPr>
          <w:r w:rsidRPr="00283D5A">
            <w:rPr>
              <w:rFonts w:ascii="Arial" w:hAnsi="Arial" w:cs="Arial"/>
              <w:sz w:val="18"/>
              <w:szCs w:val="18"/>
            </w:rPr>
            <w:t>Versión: 0</w:t>
          </w:r>
        </w:p>
      </w:tc>
    </w:tr>
    <w:tr w:rsidR="00A36758" w:rsidRPr="00283D5A" w14:paraId="559719CF" w14:textId="77777777" w:rsidTr="005D33B5">
      <w:trPr>
        <w:cantSplit/>
        <w:trHeight w:val="454"/>
      </w:trPr>
      <w:tc>
        <w:tcPr>
          <w:tcW w:w="2518" w:type="dxa"/>
          <w:vMerge/>
          <w:tcBorders>
            <w:right w:val="single" w:sz="4" w:space="0" w:color="auto"/>
          </w:tcBorders>
        </w:tcPr>
        <w:p w14:paraId="1DB11C4E" w14:textId="77777777" w:rsidR="00A36758" w:rsidRPr="00283D5A" w:rsidRDefault="00A36758" w:rsidP="00283D5A">
          <w:pPr>
            <w:tabs>
              <w:tab w:val="center" w:pos="4419"/>
              <w:tab w:val="right" w:pos="8838"/>
            </w:tabs>
            <w:spacing w:after="0" w:line="240" w:lineRule="auto"/>
            <w:jc w:val="center"/>
            <w:rPr>
              <w:rFonts w:ascii="Arial" w:hAnsi="Arial" w:cs="Arial"/>
            </w:rPr>
          </w:pPr>
        </w:p>
      </w:tc>
      <w:tc>
        <w:tcPr>
          <w:tcW w:w="4140" w:type="dxa"/>
          <w:vMerge/>
          <w:tcBorders>
            <w:left w:val="single" w:sz="4" w:space="0" w:color="auto"/>
          </w:tcBorders>
        </w:tcPr>
        <w:p w14:paraId="2E978E04" w14:textId="77777777" w:rsidR="00A36758" w:rsidRPr="00283D5A" w:rsidRDefault="00A36758" w:rsidP="00283D5A">
          <w:pPr>
            <w:tabs>
              <w:tab w:val="center" w:pos="4419"/>
              <w:tab w:val="right" w:pos="8838"/>
            </w:tabs>
            <w:spacing w:after="0" w:line="240" w:lineRule="auto"/>
            <w:jc w:val="center"/>
            <w:rPr>
              <w:rFonts w:ascii="Arial" w:hAnsi="Arial" w:cs="Arial"/>
              <w:sz w:val="18"/>
              <w:szCs w:val="18"/>
            </w:rPr>
          </w:pPr>
        </w:p>
      </w:tc>
      <w:tc>
        <w:tcPr>
          <w:tcW w:w="2806" w:type="dxa"/>
          <w:tcBorders>
            <w:left w:val="single" w:sz="4" w:space="0" w:color="auto"/>
          </w:tcBorders>
          <w:vAlign w:val="center"/>
        </w:tcPr>
        <w:p w14:paraId="072FF358" w14:textId="45760558" w:rsidR="00A36758" w:rsidRPr="00283D5A" w:rsidRDefault="00A36758" w:rsidP="00E41B5D">
          <w:pPr>
            <w:spacing w:after="0" w:line="240" w:lineRule="auto"/>
            <w:rPr>
              <w:rFonts w:ascii="Arial" w:hAnsi="Arial" w:cs="Arial"/>
              <w:sz w:val="18"/>
              <w:szCs w:val="18"/>
            </w:rPr>
          </w:pPr>
          <w:r w:rsidRPr="00283D5A">
            <w:rPr>
              <w:rFonts w:ascii="Arial" w:hAnsi="Arial" w:cs="Arial"/>
              <w:sz w:val="18"/>
              <w:szCs w:val="18"/>
            </w:rPr>
            <w:t>Fecha</w:t>
          </w:r>
          <w:r w:rsidR="002C7AAE">
            <w:rPr>
              <w:rFonts w:ascii="Arial" w:hAnsi="Arial" w:cs="Arial"/>
              <w:sz w:val="18"/>
              <w:szCs w:val="18"/>
            </w:rPr>
            <w:t xml:space="preserve">: Memo </w:t>
          </w:r>
          <w:r w:rsidR="002C7AAE" w:rsidRPr="002C7AAE">
            <w:rPr>
              <w:rFonts w:ascii="Arial" w:hAnsi="Arial" w:cs="Arial"/>
              <w:sz w:val="18"/>
              <w:szCs w:val="18"/>
            </w:rPr>
            <w:t>I2020036430</w:t>
          </w:r>
          <w:r w:rsidR="002C7AAE">
            <w:rPr>
              <w:rFonts w:ascii="Arial" w:hAnsi="Arial" w:cs="Arial"/>
              <w:sz w:val="18"/>
              <w:szCs w:val="18"/>
            </w:rPr>
            <w:t xml:space="preserve"> – 30/12/2020</w:t>
          </w:r>
        </w:p>
      </w:tc>
    </w:tr>
    <w:tr w:rsidR="00A36758" w:rsidRPr="00283D5A" w14:paraId="4A970FDA" w14:textId="77777777" w:rsidTr="005D33B5">
      <w:trPr>
        <w:cantSplit/>
        <w:trHeight w:val="435"/>
      </w:trPr>
      <w:tc>
        <w:tcPr>
          <w:tcW w:w="2518" w:type="dxa"/>
          <w:vMerge/>
          <w:tcBorders>
            <w:right w:val="single" w:sz="4" w:space="0" w:color="auto"/>
          </w:tcBorders>
        </w:tcPr>
        <w:p w14:paraId="20C605CC" w14:textId="77777777" w:rsidR="00A36758" w:rsidRPr="00283D5A" w:rsidRDefault="00A36758" w:rsidP="00283D5A">
          <w:pPr>
            <w:tabs>
              <w:tab w:val="center" w:pos="4419"/>
              <w:tab w:val="right" w:pos="8838"/>
            </w:tabs>
            <w:spacing w:after="0" w:line="240" w:lineRule="auto"/>
            <w:jc w:val="center"/>
            <w:rPr>
              <w:rFonts w:ascii="Arial" w:hAnsi="Arial" w:cs="Arial"/>
            </w:rPr>
          </w:pPr>
        </w:p>
      </w:tc>
      <w:tc>
        <w:tcPr>
          <w:tcW w:w="4140" w:type="dxa"/>
          <w:vMerge/>
          <w:tcBorders>
            <w:left w:val="single" w:sz="4" w:space="0" w:color="auto"/>
            <w:bottom w:val="single" w:sz="4" w:space="0" w:color="auto"/>
          </w:tcBorders>
        </w:tcPr>
        <w:p w14:paraId="67D936A7" w14:textId="77777777" w:rsidR="00A36758" w:rsidRPr="00283D5A" w:rsidRDefault="00A36758" w:rsidP="00283D5A">
          <w:pPr>
            <w:tabs>
              <w:tab w:val="center" w:pos="4419"/>
              <w:tab w:val="right" w:pos="8838"/>
            </w:tabs>
            <w:spacing w:after="0" w:line="240" w:lineRule="auto"/>
            <w:jc w:val="center"/>
            <w:rPr>
              <w:rFonts w:ascii="Arial" w:hAnsi="Arial" w:cs="Arial"/>
              <w:sz w:val="18"/>
              <w:szCs w:val="18"/>
            </w:rPr>
          </w:pPr>
        </w:p>
      </w:tc>
      <w:tc>
        <w:tcPr>
          <w:tcW w:w="2806" w:type="dxa"/>
          <w:tcBorders>
            <w:left w:val="single" w:sz="4" w:space="0" w:color="auto"/>
            <w:bottom w:val="single" w:sz="4" w:space="0" w:color="auto"/>
          </w:tcBorders>
          <w:vAlign w:val="center"/>
        </w:tcPr>
        <w:p w14:paraId="131292D1" w14:textId="77777777" w:rsidR="00A36758" w:rsidRPr="00283D5A" w:rsidRDefault="00A36758" w:rsidP="00E41B5D">
          <w:pPr>
            <w:spacing w:after="0" w:line="240" w:lineRule="auto"/>
            <w:rPr>
              <w:rFonts w:ascii="Arial" w:hAnsi="Arial" w:cs="Arial"/>
              <w:sz w:val="18"/>
              <w:szCs w:val="18"/>
            </w:rPr>
          </w:pPr>
          <w:r w:rsidRPr="00283D5A">
            <w:rPr>
              <w:rFonts w:ascii="Arial" w:hAnsi="Arial" w:cs="Arial"/>
              <w:sz w:val="18"/>
              <w:szCs w:val="18"/>
            </w:rPr>
            <w:t xml:space="preserve">Página: </w:t>
          </w:r>
          <w:r w:rsidRPr="00E41B5D">
            <w:rPr>
              <w:rFonts w:ascii="Arial" w:hAnsi="Arial" w:cs="Arial"/>
              <w:sz w:val="18"/>
              <w:szCs w:val="18"/>
            </w:rPr>
            <w:fldChar w:fldCharType="begin"/>
          </w:r>
          <w:r w:rsidRPr="00E41B5D">
            <w:rPr>
              <w:rFonts w:ascii="Arial" w:hAnsi="Arial" w:cs="Arial"/>
              <w:sz w:val="18"/>
              <w:szCs w:val="18"/>
            </w:rPr>
            <w:instrText xml:space="preserve"> PAGE </w:instrText>
          </w:r>
          <w:r w:rsidRPr="00E41B5D">
            <w:rPr>
              <w:rFonts w:ascii="Arial" w:hAnsi="Arial" w:cs="Arial"/>
              <w:sz w:val="18"/>
              <w:szCs w:val="18"/>
            </w:rPr>
            <w:fldChar w:fldCharType="separate"/>
          </w:r>
          <w:r w:rsidRPr="00E41B5D">
            <w:rPr>
              <w:rFonts w:ascii="Arial" w:hAnsi="Arial" w:cs="Arial"/>
              <w:sz w:val="18"/>
              <w:szCs w:val="18"/>
            </w:rPr>
            <w:t>1</w:t>
          </w:r>
          <w:r w:rsidRPr="00E41B5D">
            <w:rPr>
              <w:rFonts w:ascii="Arial" w:hAnsi="Arial" w:cs="Arial"/>
              <w:sz w:val="18"/>
              <w:szCs w:val="18"/>
            </w:rPr>
            <w:fldChar w:fldCharType="end"/>
          </w:r>
          <w:r w:rsidRPr="00E41B5D">
            <w:rPr>
              <w:rFonts w:ascii="Arial" w:hAnsi="Arial" w:cs="Arial"/>
              <w:sz w:val="18"/>
              <w:szCs w:val="18"/>
            </w:rPr>
            <w:t xml:space="preserve"> de </w:t>
          </w:r>
          <w:r w:rsidRPr="00E41B5D">
            <w:rPr>
              <w:rFonts w:ascii="Arial" w:hAnsi="Arial" w:cs="Arial"/>
              <w:sz w:val="18"/>
              <w:szCs w:val="18"/>
            </w:rPr>
            <w:fldChar w:fldCharType="begin"/>
          </w:r>
          <w:r w:rsidRPr="00E41B5D">
            <w:rPr>
              <w:rFonts w:ascii="Arial" w:hAnsi="Arial" w:cs="Arial"/>
              <w:sz w:val="18"/>
              <w:szCs w:val="18"/>
            </w:rPr>
            <w:instrText xml:space="preserve"> NUMPAGES  </w:instrText>
          </w:r>
          <w:r w:rsidRPr="00E41B5D">
            <w:rPr>
              <w:rFonts w:ascii="Arial" w:hAnsi="Arial" w:cs="Arial"/>
              <w:sz w:val="18"/>
              <w:szCs w:val="18"/>
            </w:rPr>
            <w:fldChar w:fldCharType="separate"/>
          </w:r>
          <w:r w:rsidRPr="00E41B5D">
            <w:rPr>
              <w:rFonts w:ascii="Arial" w:hAnsi="Arial" w:cs="Arial"/>
              <w:sz w:val="18"/>
              <w:szCs w:val="18"/>
            </w:rPr>
            <w:t>1</w:t>
          </w:r>
          <w:r w:rsidRPr="00E41B5D">
            <w:rPr>
              <w:rFonts w:ascii="Arial" w:hAnsi="Arial" w:cs="Arial"/>
              <w:sz w:val="18"/>
              <w:szCs w:val="18"/>
            </w:rPr>
            <w:fldChar w:fldCharType="end"/>
          </w:r>
        </w:p>
      </w:tc>
    </w:tr>
  </w:tbl>
  <w:p w14:paraId="05DC590B" w14:textId="28916B7B" w:rsidR="00A36758" w:rsidRDefault="00A36758" w:rsidP="00504EF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84D3"/>
      </v:shape>
    </w:pict>
  </w:numPicBullet>
  <w:abstractNum w:abstractNumId="0" w15:restartNumberingAfterBreak="0">
    <w:nsid w:val="061C198E"/>
    <w:multiLevelType w:val="multilevel"/>
    <w:tmpl w:val="3CAE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2692"/>
    <w:multiLevelType w:val="multilevel"/>
    <w:tmpl w:val="B6CC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82B69"/>
    <w:multiLevelType w:val="multilevel"/>
    <w:tmpl w:val="3780BB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6919D3"/>
    <w:multiLevelType w:val="hybridMultilevel"/>
    <w:tmpl w:val="C2C0C6B6"/>
    <w:lvl w:ilvl="0" w:tplc="240A0019">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793262A"/>
    <w:multiLevelType w:val="hybridMultilevel"/>
    <w:tmpl w:val="25209A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216AD"/>
    <w:multiLevelType w:val="hybridMultilevel"/>
    <w:tmpl w:val="1BF27B7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B8859A1"/>
    <w:multiLevelType w:val="multilevel"/>
    <w:tmpl w:val="5962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46B2A"/>
    <w:multiLevelType w:val="multilevel"/>
    <w:tmpl w:val="0842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43177"/>
    <w:multiLevelType w:val="hybridMultilevel"/>
    <w:tmpl w:val="C08098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2FF5BF2"/>
    <w:multiLevelType w:val="hybridMultilevel"/>
    <w:tmpl w:val="AD564F92"/>
    <w:lvl w:ilvl="0" w:tplc="1AA81F2E">
      <w:start w:val="2"/>
      <w:numFmt w:val="bullet"/>
      <w:lvlText w:val="-"/>
      <w:lvlJc w:val="left"/>
      <w:pPr>
        <w:ind w:left="360" w:hanging="360"/>
      </w:pPr>
      <w:rPr>
        <w:rFonts w:ascii="Calibri" w:eastAsia="Calibri" w:hAnsi="Calibri" w:cs="Times New Roman"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252E0F7F"/>
    <w:multiLevelType w:val="hybridMultilevel"/>
    <w:tmpl w:val="380CA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B056A0"/>
    <w:multiLevelType w:val="hybridMultilevel"/>
    <w:tmpl w:val="F4DE9D1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2" w15:restartNumberingAfterBreak="0">
    <w:nsid w:val="282D00AD"/>
    <w:multiLevelType w:val="hybridMultilevel"/>
    <w:tmpl w:val="427E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8643A31"/>
    <w:multiLevelType w:val="hybridMultilevel"/>
    <w:tmpl w:val="39921D0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8A6D25"/>
    <w:multiLevelType w:val="hybridMultilevel"/>
    <w:tmpl w:val="BFFE0AE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9C51D45"/>
    <w:multiLevelType w:val="multilevel"/>
    <w:tmpl w:val="3BD00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A3DDC"/>
    <w:multiLevelType w:val="multilevel"/>
    <w:tmpl w:val="E868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8F56AB"/>
    <w:multiLevelType w:val="hybridMultilevel"/>
    <w:tmpl w:val="C83EA07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B05BEA"/>
    <w:multiLevelType w:val="hybridMultilevel"/>
    <w:tmpl w:val="E468E666"/>
    <w:lvl w:ilvl="0" w:tplc="F56CDFD8">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5E1626"/>
    <w:multiLevelType w:val="multilevel"/>
    <w:tmpl w:val="6B4A8B3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F53AB9"/>
    <w:multiLevelType w:val="multilevel"/>
    <w:tmpl w:val="2BBA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B7C7A"/>
    <w:multiLevelType w:val="multilevel"/>
    <w:tmpl w:val="325E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AA4F03"/>
    <w:multiLevelType w:val="multilevel"/>
    <w:tmpl w:val="B910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745B6"/>
    <w:multiLevelType w:val="multilevel"/>
    <w:tmpl w:val="2D7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D43E6F"/>
    <w:multiLevelType w:val="multilevel"/>
    <w:tmpl w:val="D9B6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679C5"/>
    <w:multiLevelType w:val="multilevel"/>
    <w:tmpl w:val="8890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986948"/>
    <w:multiLevelType w:val="hybridMultilevel"/>
    <w:tmpl w:val="72745F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5B42CBB"/>
    <w:multiLevelType w:val="hybridMultilevel"/>
    <w:tmpl w:val="677EB0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C06113C"/>
    <w:multiLevelType w:val="multilevel"/>
    <w:tmpl w:val="D110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4B3E46"/>
    <w:multiLevelType w:val="hybridMultilevel"/>
    <w:tmpl w:val="732C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D1646"/>
    <w:multiLevelType w:val="hybridMultilevel"/>
    <w:tmpl w:val="4BE622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16D5B43"/>
    <w:multiLevelType w:val="multilevel"/>
    <w:tmpl w:val="C9EE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FC6C35"/>
    <w:multiLevelType w:val="hybridMultilevel"/>
    <w:tmpl w:val="F9D4C7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BD40FD"/>
    <w:multiLevelType w:val="hybridMultilevel"/>
    <w:tmpl w:val="AE965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CCC0A0C"/>
    <w:multiLevelType w:val="hybridMultilevel"/>
    <w:tmpl w:val="CE926C52"/>
    <w:lvl w:ilvl="0" w:tplc="CFE41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45E53"/>
    <w:multiLevelType w:val="hybridMultilevel"/>
    <w:tmpl w:val="AE8CC0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3C811BA"/>
    <w:multiLevelType w:val="hybridMultilevel"/>
    <w:tmpl w:val="9892BD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5D41C9C"/>
    <w:multiLevelType w:val="hybridMultilevel"/>
    <w:tmpl w:val="9426E6A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A364396"/>
    <w:multiLevelType w:val="hybridMultilevel"/>
    <w:tmpl w:val="E06067D2"/>
    <w:lvl w:ilvl="0" w:tplc="F56CDFD8">
      <w:start w:val="1"/>
      <w:numFmt w:val="bullet"/>
      <w:lvlText w:val="-"/>
      <w:lvlJc w:val="left"/>
      <w:pPr>
        <w:ind w:left="1068" w:hanging="360"/>
      </w:pPr>
      <w:rPr>
        <w:rFonts w:ascii="Calibri" w:eastAsia="Calibri" w:hAnsi="Calibri" w:cs="Calibr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9" w15:restartNumberingAfterBreak="0">
    <w:nsid w:val="7C6460AB"/>
    <w:multiLevelType w:val="hybridMultilevel"/>
    <w:tmpl w:val="9F96BBD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0" w15:restartNumberingAfterBreak="0">
    <w:nsid w:val="7D807C10"/>
    <w:multiLevelType w:val="hybridMultilevel"/>
    <w:tmpl w:val="0B168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E43171E"/>
    <w:multiLevelType w:val="hybridMultilevel"/>
    <w:tmpl w:val="652CD8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E671312"/>
    <w:multiLevelType w:val="hybridMultilevel"/>
    <w:tmpl w:val="3D02D4A0"/>
    <w:lvl w:ilvl="0" w:tplc="6B68E956">
      <w:start w:val="1"/>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EE4474F"/>
    <w:multiLevelType w:val="hybridMultilevel"/>
    <w:tmpl w:val="FC143526"/>
    <w:lvl w:ilvl="0" w:tplc="4E4887E4">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6"/>
  </w:num>
  <w:num w:numId="2">
    <w:abstractNumId w:val="43"/>
  </w:num>
  <w:num w:numId="3">
    <w:abstractNumId w:val="8"/>
  </w:num>
  <w:num w:numId="4">
    <w:abstractNumId w:val="36"/>
  </w:num>
  <w:num w:numId="5">
    <w:abstractNumId w:val="29"/>
  </w:num>
  <w:num w:numId="6">
    <w:abstractNumId w:val="32"/>
  </w:num>
  <w:num w:numId="7">
    <w:abstractNumId w:val="34"/>
  </w:num>
  <w:num w:numId="8">
    <w:abstractNumId w:val="4"/>
  </w:num>
  <w:num w:numId="9">
    <w:abstractNumId w:val="15"/>
  </w:num>
  <w:num w:numId="10">
    <w:abstractNumId w:val="23"/>
  </w:num>
  <w:num w:numId="11">
    <w:abstractNumId w:val="17"/>
  </w:num>
  <w:num w:numId="12">
    <w:abstractNumId w:val="40"/>
  </w:num>
  <w:num w:numId="13">
    <w:abstractNumId w:val="19"/>
  </w:num>
  <w:num w:numId="14">
    <w:abstractNumId w:val="2"/>
  </w:num>
  <w:num w:numId="15">
    <w:abstractNumId w:val="21"/>
  </w:num>
  <w:num w:numId="16">
    <w:abstractNumId w:val="25"/>
  </w:num>
  <w:num w:numId="17">
    <w:abstractNumId w:val="20"/>
  </w:num>
  <w:num w:numId="18">
    <w:abstractNumId w:val="1"/>
  </w:num>
  <w:num w:numId="19">
    <w:abstractNumId w:val="28"/>
  </w:num>
  <w:num w:numId="20">
    <w:abstractNumId w:val="22"/>
  </w:num>
  <w:num w:numId="21">
    <w:abstractNumId w:val="7"/>
  </w:num>
  <w:num w:numId="22">
    <w:abstractNumId w:val="0"/>
  </w:num>
  <w:num w:numId="23">
    <w:abstractNumId w:val="24"/>
  </w:num>
  <w:num w:numId="24">
    <w:abstractNumId w:val="16"/>
  </w:num>
  <w:num w:numId="25">
    <w:abstractNumId w:val="12"/>
  </w:num>
  <w:num w:numId="26">
    <w:abstractNumId w:val="31"/>
  </w:num>
  <w:num w:numId="27">
    <w:abstractNumId w:val="6"/>
  </w:num>
  <w:num w:numId="28">
    <w:abstractNumId w:val="5"/>
  </w:num>
  <w:num w:numId="29">
    <w:abstractNumId w:val="3"/>
  </w:num>
  <w:num w:numId="30">
    <w:abstractNumId w:val="37"/>
  </w:num>
  <w:num w:numId="31">
    <w:abstractNumId w:val="27"/>
  </w:num>
  <w:num w:numId="32">
    <w:abstractNumId w:val="35"/>
  </w:num>
  <w:num w:numId="33">
    <w:abstractNumId w:val="13"/>
  </w:num>
  <w:num w:numId="34">
    <w:abstractNumId w:val="30"/>
  </w:num>
  <w:num w:numId="35">
    <w:abstractNumId w:val="10"/>
  </w:num>
  <w:num w:numId="36">
    <w:abstractNumId w:val="38"/>
  </w:num>
  <w:num w:numId="37">
    <w:abstractNumId w:val="42"/>
  </w:num>
  <w:num w:numId="38">
    <w:abstractNumId w:val="9"/>
  </w:num>
  <w:num w:numId="39">
    <w:abstractNumId w:val="14"/>
  </w:num>
  <w:num w:numId="40">
    <w:abstractNumId w:val="41"/>
  </w:num>
  <w:num w:numId="41">
    <w:abstractNumId w:val="18"/>
  </w:num>
  <w:num w:numId="42">
    <w:abstractNumId w:val="33"/>
  </w:num>
  <w:num w:numId="43">
    <w:abstractNumId w:val="1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CF"/>
    <w:rsid w:val="00001B21"/>
    <w:rsid w:val="000034E4"/>
    <w:rsid w:val="000044F9"/>
    <w:rsid w:val="00005144"/>
    <w:rsid w:val="00005823"/>
    <w:rsid w:val="00005AD3"/>
    <w:rsid w:val="00007AAF"/>
    <w:rsid w:val="0001226A"/>
    <w:rsid w:val="00012C67"/>
    <w:rsid w:val="0001310F"/>
    <w:rsid w:val="00020A1D"/>
    <w:rsid w:val="00022731"/>
    <w:rsid w:val="0002310B"/>
    <w:rsid w:val="0002443A"/>
    <w:rsid w:val="00024B03"/>
    <w:rsid w:val="00025C74"/>
    <w:rsid w:val="00033286"/>
    <w:rsid w:val="000352D3"/>
    <w:rsid w:val="0003685B"/>
    <w:rsid w:val="00041D6D"/>
    <w:rsid w:val="000420B4"/>
    <w:rsid w:val="00042F69"/>
    <w:rsid w:val="000446D2"/>
    <w:rsid w:val="00045824"/>
    <w:rsid w:val="00045C5E"/>
    <w:rsid w:val="00046A8D"/>
    <w:rsid w:val="00047BB9"/>
    <w:rsid w:val="0005005C"/>
    <w:rsid w:val="0005115D"/>
    <w:rsid w:val="00052FFB"/>
    <w:rsid w:val="000553C8"/>
    <w:rsid w:val="00060441"/>
    <w:rsid w:val="0006086E"/>
    <w:rsid w:val="00061657"/>
    <w:rsid w:val="00062DD2"/>
    <w:rsid w:val="000633B8"/>
    <w:rsid w:val="00065BB9"/>
    <w:rsid w:val="000669E2"/>
    <w:rsid w:val="00066FA3"/>
    <w:rsid w:val="00067878"/>
    <w:rsid w:val="00070406"/>
    <w:rsid w:val="0007462D"/>
    <w:rsid w:val="0007472B"/>
    <w:rsid w:val="000756D1"/>
    <w:rsid w:val="00081AFB"/>
    <w:rsid w:val="00081D4C"/>
    <w:rsid w:val="000823A0"/>
    <w:rsid w:val="000827ED"/>
    <w:rsid w:val="00084099"/>
    <w:rsid w:val="00090CEF"/>
    <w:rsid w:val="00091E97"/>
    <w:rsid w:val="00094FC0"/>
    <w:rsid w:val="00097B6B"/>
    <w:rsid w:val="000A12E1"/>
    <w:rsid w:val="000A16FD"/>
    <w:rsid w:val="000A1F31"/>
    <w:rsid w:val="000A2719"/>
    <w:rsid w:val="000A58E9"/>
    <w:rsid w:val="000B05C5"/>
    <w:rsid w:val="000B35F9"/>
    <w:rsid w:val="000B3BA0"/>
    <w:rsid w:val="000B47BA"/>
    <w:rsid w:val="000B47FB"/>
    <w:rsid w:val="000B592A"/>
    <w:rsid w:val="000B5FCD"/>
    <w:rsid w:val="000B6C1F"/>
    <w:rsid w:val="000C2276"/>
    <w:rsid w:val="000D1403"/>
    <w:rsid w:val="000D180E"/>
    <w:rsid w:val="000D2C70"/>
    <w:rsid w:val="000D5F71"/>
    <w:rsid w:val="000E2A24"/>
    <w:rsid w:val="000E52FF"/>
    <w:rsid w:val="000E7E60"/>
    <w:rsid w:val="000F029C"/>
    <w:rsid w:val="000F0C33"/>
    <w:rsid w:val="000F387F"/>
    <w:rsid w:val="000F3984"/>
    <w:rsid w:val="000F5BE1"/>
    <w:rsid w:val="000F6007"/>
    <w:rsid w:val="000F6558"/>
    <w:rsid w:val="00100FB5"/>
    <w:rsid w:val="00101433"/>
    <w:rsid w:val="00101508"/>
    <w:rsid w:val="00102907"/>
    <w:rsid w:val="001071C0"/>
    <w:rsid w:val="00111C94"/>
    <w:rsid w:val="00112434"/>
    <w:rsid w:val="00113AF2"/>
    <w:rsid w:val="0011472D"/>
    <w:rsid w:val="00114F43"/>
    <w:rsid w:val="00117826"/>
    <w:rsid w:val="00117CB7"/>
    <w:rsid w:val="001210EC"/>
    <w:rsid w:val="00121538"/>
    <w:rsid w:val="00123432"/>
    <w:rsid w:val="00124107"/>
    <w:rsid w:val="00124697"/>
    <w:rsid w:val="00126355"/>
    <w:rsid w:val="001273A7"/>
    <w:rsid w:val="001273D1"/>
    <w:rsid w:val="00127DBC"/>
    <w:rsid w:val="00127E1C"/>
    <w:rsid w:val="00130CE1"/>
    <w:rsid w:val="0013153E"/>
    <w:rsid w:val="0013489A"/>
    <w:rsid w:val="0013639D"/>
    <w:rsid w:val="00136C5E"/>
    <w:rsid w:val="001424FF"/>
    <w:rsid w:val="00142CEC"/>
    <w:rsid w:val="00143892"/>
    <w:rsid w:val="0014592C"/>
    <w:rsid w:val="00146774"/>
    <w:rsid w:val="00153399"/>
    <w:rsid w:val="001538A9"/>
    <w:rsid w:val="00153E3D"/>
    <w:rsid w:val="001555E5"/>
    <w:rsid w:val="00155A94"/>
    <w:rsid w:val="00157131"/>
    <w:rsid w:val="00162262"/>
    <w:rsid w:val="001637BB"/>
    <w:rsid w:val="001638DD"/>
    <w:rsid w:val="00163D4C"/>
    <w:rsid w:val="0016562C"/>
    <w:rsid w:val="00166C4F"/>
    <w:rsid w:val="00170D6E"/>
    <w:rsid w:val="001724AC"/>
    <w:rsid w:val="00172CF3"/>
    <w:rsid w:val="00173143"/>
    <w:rsid w:val="0017452F"/>
    <w:rsid w:val="00177500"/>
    <w:rsid w:val="00177EF9"/>
    <w:rsid w:val="00180FE9"/>
    <w:rsid w:val="001812E8"/>
    <w:rsid w:val="00182293"/>
    <w:rsid w:val="00182414"/>
    <w:rsid w:val="001864DD"/>
    <w:rsid w:val="00186636"/>
    <w:rsid w:val="00186F53"/>
    <w:rsid w:val="00187F0E"/>
    <w:rsid w:val="00194908"/>
    <w:rsid w:val="00196085"/>
    <w:rsid w:val="00197986"/>
    <w:rsid w:val="00197D1C"/>
    <w:rsid w:val="001A1718"/>
    <w:rsid w:val="001A3D55"/>
    <w:rsid w:val="001A5582"/>
    <w:rsid w:val="001A575D"/>
    <w:rsid w:val="001A5FCF"/>
    <w:rsid w:val="001A74A7"/>
    <w:rsid w:val="001B5833"/>
    <w:rsid w:val="001B59DC"/>
    <w:rsid w:val="001C029E"/>
    <w:rsid w:val="001C1E3B"/>
    <w:rsid w:val="001C2A0F"/>
    <w:rsid w:val="001C2A15"/>
    <w:rsid w:val="001C2E7B"/>
    <w:rsid w:val="001C2FEB"/>
    <w:rsid w:val="001C3C2B"/>
    <w:rsid w:val="001C47FF"/>
    <w:rsid w:val="001D115A"/>
    <w:rsid w:val="001D3E48"/>
    <w:rsid w:val="001D4BFD"/>
    <w:rsid w:val="001D62D4"/>
    <w:rsid w:val="001E1B5F"/>
    <w:rsid w:val="001E22BD"/>
    <w:rsid w:val="001E2F5D"/>
    <w:rsid w:val="001E4B92"/>
    <w:rsid w:val="001E68E5"/>
    <w:rsid w:val="001F05EC"/>
    <w:rsid w:val="001F095A"/>
    <w:rsid w:val="001F0DE9"/>
    <w:rsid w:val="001F19BA"/>
    <w:rsid w:val="001F2864"/>
    <w:rsid w:val="001F3F0C"/>
    <w:rsid w:val="001F4CA9"/>
    <w:rsid w:val="001F5691"/>
    <w:rsid w:val="002000EE"/>
    <w:rsid w:val="002003B8"/>
    <w:rsid w:val="00201188"/>
    <w:rsid w:val="00201629"/>
    <w:rsid w:val="00202BC9"/>
    <w:rsid w:val="0020582B"/>
    <w:rsid w:val="00205B3C"/>
    <w:rsid w:val="0020665E"/>
    <w:rsid w:val="00206AEB"/>
    <w:rsid w:val="00207105"/>
    <w:rsid w:val="002102B3"/>
    <w:rsid w:val="002112D7"/>
    <w:rsid w:val="0021304C"/>
    <w:rsid w:val="00215674"/>
    <w:rsid w:val="00215D55"/>
    <w:rsid w:val="0021697C"/>
    <w:rsid w:val="0022122B"/>
    <w:rsid w:val="0022793C"/>
    <w:rsid w:val="0023496C"/>
    <w:rsid w:val="00235E20"/>
    <w:rsid w:val="002365E1"/>
    <w:rsid w:val="0023688D"/>
    <w:rsid w:val="00236CDD"/>
    <w:rsid w:val="0024206D"/>
    <w:rsid w:val="00242C25"/>
    <w:rsid w:val="00244561"/>
    <w:rsid w:val="002450CF"/>
    <w:rsid w:val="00246F46"/>
    <w:rsid w:val="002470E6"/>
    <w:rsid w:val="00247B14"/>
    <w:rsid w:val="002511DF"/>
    <w:rsid w:val="0025465C"/>
    <w:rsid w:val="0026044E"/>
    <w:rsid w:val="002605E5"/>
    <w:rsid w:val="00260C8B"/>
    <w:rsid w:val="00260D06"/>
    <w:rsid w:val="00260DFE"/>
    <w:rsid w:val="0026263A"/>
    <w:rsid w:val="00262EC0"/>
    <w:rsid w:val="00265380"/>
    <w:rsid w:val="002664CE"/>
    <w:rsid w:val="00274836"/>
    <w:rsid w:val="00275A73"/>
    <w:rsid w:val="00276859"/>
    <w:rsid w:val="002801F1"/>
    <w:rsid w:val="00282D76"/>
    <w:rsid w:val="00283916"/>
    <w:rsid w:val="00283D5A"/>
    <w:rsid w:val="0028426F"/>
    <w:rsid w:val="00284368"/>
    <w:rsid w:val="00286105"/>
    <w:rsid w:val="00290C16"/>
    <w:rsid w:val="00292CD6"/>
    <w:rsid w:val="00294E97"/>
    <w:rsid w:val="00295A84"/>
    <w:rsid w:val="002978FC"/>
    <w:rsid w:val="002A050C"/>
    <w:rsid w:val="002A225F"/>
    <w:rsid w:val="002A3770"/>
    <w:rsid w:val="002A3A5B"/>
    <w:rsid w:val="002B5AE8"/>
    <w:rsid w:val="002B6943"/>
    <w:rsid w:val="002B6E96"/>
    <w:rsid w:val="002B7364"/>
    <w:rsid w:val="002B747A"/>
    <w:rsid w:val="002C1719"/>
    <w:rsid w:val="002C193E"/>
    <w:rsid w:val="002C7AA7"/>
    <w:rsid w:val="002C7AAE"/>
    <w:rsid w:val="002D338B"/>
    <w:rsid w:val="002D3499"/>
    <w:rsid w:val="002D3534"/>
    <w:rsid w:val="002D4058"/>
    <w:rsid w:val="002D4B4B"/>
    <w:rsid w:val="002D757E"/>
    <w:rsid w:val="002E0039"/>
    <w:rsid w:val="002E2FFB"/>
    <w:rsid w:val="002E6A98"/>
    <w:rsid w:val="002F0D1A"/>
    <w:rsid w:val="002F1B06"/>
    <w:rsid w:val="002F227E"/>
    <w:rsid w:val="002F4A40"/>
    <w:rsid w:val="002F5A57"/>
    <w:rsid w:val="00304081"/>
    <w:rsid w:val="003051A2"/>
    <w:rsid w:val="003105F6"/>
    <w:rsid w:val="0031176B"/>
    <w:rsid w:val="0031185B"/>
    <w:rsid w:val="00311E49"/>
    <w:rsid w:val="003123A8"/>
    <w:rsid w:val="0031294A"/>
    <w:rsid w:val="003129FC"/>
    <w:rsid w:val="00314012"/>
    <w:rsid w:val="00315F04"/>
    <w:rsid w:val="003163C0"/>
    <w:rsid w:val="00317CA3"/>
    <w:rsid w:val="003201E1"/>
    <w:rsid w:val="003204A7"/>
    <w:rsid w:val="00320D17"/>
    <w:rsid w:val="00320EC6"/>
    <w:rsid w:val="00321B4B"/>
    <w:rsid w:val="00323CD7"/>
    <w:rsid w:val="00324952"/>
    <w:rsid w:val="0032663E"/>
    <w:rsid w:val="00326787"/>
    <w:rsid w:val="003268A7"/>
    <w:rsid w:val="00330F49"/>
    <w:rsid w:val="0033111A"/>
    <w:rsid w:val="00331559"/>
    <w:rsid w:val="00331855"/>
    <w:rsid w:val="003325B8"/>
    <w:rsid w:val="00333F6D"/>
    <w:rsid w:val="00336966"/>
    <w:rsid w:val="003410B0"/>
    <w:rsid w:val="00345B34"/>
    <w:rsid w:val="00346E95"/>
    <w:rsid w:val="003473F7"/>
    <w:rsid w:val="00350E87"/>
    <w:rsid w:val="0035178D"/>
    <w:rsid w:val="00354026"/>
    <w:rsid w:val="0035432A"/>
    <w:rsid w:val="003563D7"/>
    <w:rsid w:val="00357140"/>
    <w:rsid w:val="003616FF"/>
    <w:rsid w:val="003626D4"/>
    <w:rsid w:val="00362B26"/>
    <w:rsid w:val="003634F5"/>
    <w:rsid w:val="003645C5"/>
    <w:rsid w:val="00364625"/>
    <w:rsid w:val="003674EA"/>
    <w:rsid w:val="00370E09"/>
    <w:rsid w:val="0037104E"/>
    <w:rsid w:val="0037188A"/>
    <w:rsid w:val="00371CCC"/>
    <w:rsid w:val="00372290"/>
    <w:rsid w:val="003744BF"/>
    <w:rsid w:val="00374B52"/>
    <w:rsid w:val="00374B7D"/>
    <w:rsid w:val="003772DE"/>
    <w:rsid w:val="00377FE5"/>
    <w:rsid w:val="00385653"/>
    <w:rsid w:val="0038736C"/>
    <w:rsid w:val="00393586"/>
    <w:rsid w:val="0039369C"/>
    <w:rsid w:val="00393A75"/>
    <w:rsid w:val="00394262"/>
    <w:rsid w:val="00395A4A"/>
    <w:rsid w:val="00396C10"/>
    <w:rsid w:val="003A05D4"/>
    <w:rsid w:val="003A13D8"/>
    <w:rsid w:val="003A2B19"/>
    <w:rsid w:val="003A3A25"/>
    <w:rsid w:val="003A5639"/>
    <w:rsid w:val="003A5AE5"/>
    <w:rsid w:val="003A7BB4"/>
    <w:rsid w:val="003B4918"/>
    <w:rsid w:val="003B4A72"/>
    <w:rsid w:val="003C09BF"/>
    <w:rsid w:val="003C2012"/>
    <w:rsid w:val="003C4CBE"/>
    <w:rsid w:val="003C6F67"/>
    <w:rsid w:val="003C7BE8"/>
    <w:rsid w:val="003D13B1"/>
    <w:rsid w:val="003D3A6B"/>
    <w:rsid w:val="003D40B3"/>
    <w:rsid w:val="003D42E4"/>
    <w:rsid w:val="003D4937"/>
    <w:rsid w:val="003E07B6"/>
    <w:rsid w:val="003E125F"/>
    <w:rsid w:val="003E3DAC"/>
    <w:rsid w:val="003E3EB0"/>
    <w:rsid w:val="003E531D"/>
    <w:rsid w:val="003E69E3"/>
    <w:rsid w:val="003E7A6B"/>
    <w:rsid w:val="003F11EB"/>
    <w:rsid w:val="003F13D5"/>
    <w:rsid w:val="003F4398"/>
    <w:rsid w:val="003F7865"/>
    <w:rsid w:val="003F7BFE"/>
    <w:rsid w:val="0040353C"/>
    <w:rsid w:val="004037F7"/>
    <w:rsid w:val="0040445C"/>
    <w:rsid w:val="00406AF4"/>
    <w:rsid w:val="00411E34"/>
    <w:rsid w:val="00412BA0"/>
    <w:rsid w:val="004137A1"/>
    <w:rsid w:val="00413E1A"/>
    <w:rsid w:val="0041484E"/>
    <w:rsid w:val="00414DCB"/>
    <w:rsid w:val="00415885"/>
    <w:rsid w:val="00417D8C"/>
    <w:rsid w:val="00417EBE"/>
    <w:rsid w:val="0042344F"/>
    <w:rsid w:val="004303DE"/>
    <w:rsid w:val="004316F5"/>
    <w:rsid w:val="00431B92"/>
    <w:rsid w:val="004338D5"/>
    <w:rsid w:val="0043470D"/>
    <w:rsid w:val="00436E3F"/>
    <w:rsid w:val="0043702D"/>
    <w:rsid w:val="00440355"/>
    <w:rsid w:val="004416AA"/>
    <w:rsid w:val="00443201"/>
    <w:rsid w:val="00443AF9"/>
    <w:rsid w:val="00445969"/>
    <w:rsid w:val="00446C77"/>
    <w:rsid w:val="00446FE9"/>
    <w:rsid w:val="00447337"/>
    <w:rsid w:val="00447881"/>
    <w:rsid w:val="00450DCB"/>
    <w:rsid w:val="004538C0"/>
    <w:rsid w:val="00453C72"/>
    <w:rsid w:val="004541B0"/>
    <w:rsid w:val="00454763"/>
    <w:rsid w:val="004630C0"/>
    <w:rsid w:val="004653F6"/>
    <w:rsid w:val="00471F7E"/>
    <w:rsid w:val="00472AFA"/>
    <w:rsid w:val="004758EF"/>
    <w:rsid w:val="004811A2"/>
    <w:rsid w:val="004812D4"/>
    <w:rsid w:val="00481CB8"/>
    <w:rsid w:val="004833ED"/>
    <w:rsid w:val="00483F6D"/>
    <w:rsid w:val="00484D19"/>
    <w:rsid w:val="004878AE"/>
    <w:rsid w:val="004878B4"/>
    <w:rsid w:val="00492553"/>
    <w:rsid w:val="004929E5"/>
    <w:rsid w:val="00493864"/>
    <w:rsid w:val="004949F5"/>
    <w:rsid w:val="0049541E"/>
    <w:rsid w:val="004A1023"/>
    <w:rsid w:val="004A275B"/>
    <w:rsid w:val="004A36A4"/>
    <w:rsid w:val="004A3710"/>
    <w:rsid w:val="004A3D28"/>
    <w:rsid w:val="004A722B"/>
    <w:rsid w:val="004A7BE8"/>
    <w:rsid w:val="004B2FA2"/>
    <w:rsid w:val="004B442B"/>
    <w:rsid w:val="004B5841"/>
    <w:rsid w:val="004B65D3"/>
    <w:rsid w:val="004B6C96"/>
    <w:rsid w:val="004C1F07"/>
    <w:rsid w:val="004C233F"/>
    <w:rsid w:val="004C3E95"/>
    <w:rsid w:val="004C5A06"/>
    <w:rsid w:val="004D6AEB"/>
    <w:rsid w:val="004E6471"/>
    <w:rsid w:val="004F4064"/>
    <w:rsid w:val="004F5BF8"/>
    <w:rsid w:val="004F642A"/>
    <w:rsid w:val="004F64D1"/>
    <w:rsid w:val="004F7865"/>
    <w:rsid w:val="0050026B"/>
    <w:rsid w:val="005007DD"/>
    <w:rsid w:val="00502252"/>
    <w:rsid w:val="00502626"/>
    <w:rsid w:val="00504EF9"/>
    <w:rsid w:val="00506C77"/>
    <w:rsid w:val="005071B7"/>
    <w:rsid w:val="0051052A"/>
    <w:rsid w:val="00510A88"/>
    <w:rsid w:val="005111D2"/>
    <w:rsid w:val="0051346E"/>
    <w:rsid w:val="00513F0E"/>
    <w:rsid w:val="00516A21"/>
    <w:rsid w:val="00516F01"/>
    <w:rsid w:val="00516F9C"/>
    <w:rsid w:val="00517868"/>
    <w:rsid w:val="00517CC0"/>
    <w:rsid w:val="00520D44"/>
    <w:rsid w:val="00521152"/>
    <w:rsid w:val="00521297"/>
    <w:rsid w:val="00523BA1"/>
    <w:rsid w:val="00524C46"/>
    <w:rsid w:val="00530326"/>
    <w:rsid w:val="005304B1"/>
    <w:rsid w:val="00531CEC"/>
    <w:rsid w:val="00533163"/>
    <w:rsid w:val="005333DC"/>
    <w:rsid w:val="00533BB8"/>
    <w:rsid w:val="00535F33"/>
    <w:rsid w:val="00536AFC"/>
    <w:rsid w:val="005372D8"/>
    <w:rsid w:val="00540FBE"/>
    <w:rsid w:val="00542C0A"/>
    <w:rsid w:val="00542D71"/>
    <w:rsid w:val="005444BE"/>
    <w:rsid w:val="00546254"/>
    <w:rsid w:val="00547FD9"/>
    <w:rsid w:val="00551029"/>
    <w:rsid w:val="00552449"/>
    <w:rsid w:val="00555058"/>
    <w:rsid w:val="00557F55"/>
    <w:rsid w:val="005617A2"/>
    <w:rsid w:val="00561D0E"/>
    <w:rsid w:val="00562EF0"/>
    <w:rsid w:val="00563A18"/>
    <w:rsid w:val="005646C0"/>
    <w:rsid w:val="005646F2"/>
    <w:rsid w:val="00571B11"/>
    <w:rsid w:val="00571EB2"/>
    <w:rsid w:val="005759C0"/>
    <w:rsid w:val="00580332"/>
    <w:rsid w:val="00582B6E"/>
    <w:rsid w:val="00583493"/>
    <w:rsid w:val="00584C34"/>
    <w:rsid w:val="00584E62"/>
    <w:rsid w:val="005866C6"/>
    <w:rsid w:val="00591222"/>
    <w:rsid w:val="005912E0"/>
    <w:rsid w:val="00591F4D"/>
    <w:rsid w:val="005965EA"/>
    <w:rsid w:val="00596E26"/>
    <w:rsid w:val="00597458"/>
    <w:rsid w:val="005A314B"/>
    <w:rsid w:val="005A3475"/>
    <w:rsid w:val="005A4432"/>
    <w:rsid w:val="005A5792"/>
    <w:rsid w:val="005A601B"/>
    <w:rsid w:val="005B2479"/>
    <w:rsid w:val="005B3043"/>
    <w:rsid w:val="005B39B6"/>
    <w:rsid w:val="005B39BD"/>
    <w:rsid w:val="005B3CE5"/>
    <w:rsid w:val="005B4863"/>
    <w:rsid w:val="005B4AC2"/>
    <w:rsid w:val="005B6665"/>
    <w:rsid w:val="005C03D4"/>
    <w:rsid w:val="005C06E7"/>
    <w:rsid w:val="005C189B"/>
    <w:rsid w:val="005C1A47"/>
    <w:rsid w:val="005C32FF"/>
    <w:rsid w:val="005C3CCE"/>
    <w:rsid w:val="005C77D9"/>
    <w:rsid w:val="005D327A"/>
    <w:rsid w:val="005D33B5"/>
    <w:rsid w:val="005D3761"/>
    <w:rsid w:val="005D76BE"/>
    <w:rsid w:val="005E09A2"/>
    <w:rsid w:val="005E3488"/>
    <w:rsid w:val="005E45E9"/>
    <w:rsid w:val="005E55AA"/>
    <w:rsid w:val="005F1456"/>
    <w:rsid w:val="005F42AD"/>
    <w:rsid w:val="005F4A3D"/>
    <w:rsid w:val="005F55A3"/>
    <w:rsid w:val="005F619C"/>
    <w:rsid w:val="005F6B7E"/>
    <w:rsid w:val="005F71D6"/>
    <w:rsid w:val="0060174F"/>
    <w:rsid w:val="006032E1"/>
    <w:rsid w:val="006046F8"/>
    <w:rsid w:val="006048D6"/>
    <w:rsid w:val="00607506"/>
    <w:rsid w:val="00607658"/>
    <w:rsid w:val="00607692"/>
    <w:rsid w:val="00607C35"/>
    <w:rsid w:val="00611FE7"/>
    <w:rsid w:val="00615372"/>
    <w:rsid w:val="006206A5"/>
    <w:rsid w:val="006207A3"/>
    <w:rsid w:val="00620E42"/>
    <w:rsid w:val="00622FE8"/>
    <w:rsid w:val="00623E38"/>
    <w:rsid w:val="006260AC"/>
    <w:rsid w:val="006265C8"/>
    <w:rsid w:val="006300B4"/>
    <w:rsid w:val="00631A96"/>
    <w:rsid w:val="00632FE1"/>
    <w:rsid w:val="006349EB"/>
    <w:rsid w:val="00635F96"/>
    <w:rsid w:val="00636719"/>
    <w:rsid w:val="006371F3"/>
    <w:rsid w:val="00637258"/>
    <w:rsid w:val="00637C99"/>
    <w:rsid w:val="0064472D"/>
    <w:rsid w:val="00654C8B"/>
    <w:rsid w:val="00660C3A"/>
    <w:rsid w:val="00661BEC"/>
    <w:rsid w:val="006620FD"/>
    <w:rsid w:val="00662E1B"/>
    <w:rsid w:val="00663C58"/>
    <w:rsid w:val="006644DF"/>
    <w:rsid w:val="00665ED2"/>
    <w:rsid w:val="0067505A"/>
    <w:rsid w:val="0067518F"/>
    <w:rsid w:val="00675BFE"/>
    <w:rsid w:val="0067644F"/>
    <w:rsid w:val="006776DF"/>
    <w:rsid w:val="00680D59"/>
    <w:rsid w:val="006825B7"/>
    <w:rsid w:val="00684400"/>
    <w:rsid w:val="00684AA1"/>
    <w:rsid w:val="00687787"/>
    <w:rsid w:val="00687F8F"/>
    <w:rsid w:val="006933FD"/>
    <w:rsid w:val="0069794C"/>
    <w:rsid w:val="006A402B"/>
    <w:rsid w:val="006A4956"/>
    <w:rsid w:val="006A5070"/>
    <w:rsid w:val="006A5757"/>
    <w:rsid w:val="006A6EB9"/>
    <w:rsid w:val="006A72DE"/>
    <w:rsid w:val="006B4273"/>
    <w:rsid w:val="006B6029"/>
    <w:rsid w:val="006C0BC5"/>
    <w:rsid w:val="006C0D68"/>
    <w:rsid w:val="006C2EAC"/>
    <w:rsid w:val="006C2F07"/>
    <w:rsid w:val="006C332E"/>
    <w:rsid w:val="006C3676"/>
    <w:rsid w:val="006C3AF4"/>
    <w:rsid w:val="006C43EA"/>
    <w:rsid w:val="006C44BC"/>
    <w:rsid w:val="006C4A4A"/>
    <w:rsid w:val="006C69EC"/>
    <w:rsid w:val="006D0B2E"/>
    <w:rsid w:val="006D1CF6"/>
    <w:rsid w:val="006D26ED"/>
    <w:rsid w:val="006D53CE"/>
    <w:rsid w:val="006D61F1"/>
    <w:rsid w:val="006D7BF0"/>
    <w:rsid w:val="006E0B13"/>
    <w:rsid w:val="006E3C8C"/>
    <w:rsid w:val="006E5DF2"/>
    <w:rsid w:val="006E666E"/>
    <w:rsid w:val="006E6A27"/>
    <w:rsid w:val="006E7D23"/>
    <w:rsid w:val="006F0AA6"/>
    <w:rsid w:val="006F0CE9"/>
    <w:rsid w:val="006F1112"/>
    <w:rsid w:val="006F344F"/>
    <w:rsid w:val="006F3E87"/>
    <w:rsid w:val="006F4062"/>
    <w:rsid w:val="006F42C7"/>
    <w:rsid w:val="006F45E4"/>
    <w:rsid w:val="006F55A7"/>
    <w:rsid w:val="0070069B"/>
    <w:rsid w:val="00702191"/>
    <w:rsid w:val="00705314"/>
    <w:rsid w:val="00705651"/>
    <w:rsid w:val="00710A06"/>
    <w:rsid w:val="00712D9D"/>
    <w:rsid w:val="007143B6"/>
    <w:rsid w:val="0071580A"/>
    <w:rsid w:val="0071618D"/>
    <w:rsid w:val="00717049"/>
    <w:rsid w:val="0071717C"/>
    <w:rsid w:val="007177B7"/>
    <w:rsid w:val="007205B4"/>
    <w:rsid w:val="00731813"/>
    <w:rsid w:val="00735041"/>
    <w:rsid w:val="007352EA"/>
    <w:rsid w:val="0073566F"/>
    <w:rsid w:val="007456A3"/>
    <w:rsid w:val="00745CBD"/>
    <w:rsid w:val="00747694"/>
    <w:rsid w:val="007477F2"/>
    <w:rsid w:val="00750059"/>
    <w:rsid w:val="0075269A"/>
    <w:rsid w:val="00752985"/>
    <w:rsid w:val="00752DE8"/>
    <w:rsid w:val="007574A5"/>
    <w:rsid w:val="00757A28"/>
    <w:rsid w:val="00760D63"/>
    <w:rsid w:val="0076249E"/>
    <w:rsid w:val="00764A64"/>
    <w:rsid w:val="00766B3D"/>
    <w:rsid w:val="00773ABE"/>
    <w:rsid w:val="00773FE3"/>
    <w:rsid w:val="007758A4"/>
    <w:rsid w:val="00777A28"/>
    <w:rsid w:val="007801B1"/>
    <w:rsid w:val="00780B85"/>
    <w:rsid w:val="00785F40"/>
    <w:rsid w:val="007879F0"/>
    <w:rsid w:val="007916DA"/>
    <w:rsid w:val="00792BBF"/>
    <w:rsid w:val="00792DF4"/>
    <w:rsid w:val="007936F4"/>
    <w:rsid w:val="00794353"/>
    <w:rsid w:val="0079595E"/>
    <w:rsid w:val="007A4ED1"/>
    <w:rsid w:val="007B2253"/>
    <w:rsid w:val="007B47B4"/>
    <w:rsid w:val="007B4C42"/>
    <w:rsid w:val="007C1031"/>
    <w:rsid w:val="007C1559"/>
    <w:rsid w:val="007C3640"/>
    <w:rsid w:val="007C739D"/>
    <w:rsid w:val="007D39AC"/>
    <w:rsid w:val="007D4360"/>
    <w:rsid w:val="007D4E9C"/>
    <w:rsid w:val="007E05E2"/>
    <w:rsid w:val="007E392D"/>
    <w:rsid w:val="007E6B6B"/>
    <w:rsid w:val="007F24B6"/>
    <w:rsid w:val="007F40B2"/>
    <w:rsid w:val="007F4D3B"/>
    <w:rsid w:val="007F65BD"/>
    <w:rsid w:val="007F68A4"/>
    <w:rsid w:val="00802C4B"/>
    <w:rsid w:val="00803E9F"/>
    <w:rsid w:val="0080640D"/>
    <w:rsid w:val="0081105D"/>
    <w:rsid w:val="00813077"/>
    <w:rsid w:val="008145C6"/>
    <w:rsid w:val="00823BCC"/>
    <w:rsid w:val="00823D2F"/>
    <w:rsid w:val="00826485"/>
    <w:rsid w:val="008274C4"/>
    <w:rsid w:val="008275B1"/>
    <w:rsid w:val="0082767E"/>
    <w:rsid w:val="00827D37"/>
    <w:rsid w:val="0083028D"/>
    <w:rsid w:val="00832076"/>
    <w:rsid w:val="00834B2D"/>
    <w:rsid w:val="00835BC6"/>
    <w:rsid w:val="00837735"/>
    <w:rsid w:val="00842C18"/>
    <w:rsid w:val="008448F8"/>
    <w:rsid w:val="00847E26"/>
    <w:rsid w:val="008509FC"/>
    <w:rsid w:val="00851226"/>
    <w:rsid w:val="00852D39"/>
    <w:rsid w:val="008535A1"/>
    <w:rsid w:val="008543E3"/>
    <w:rsid w:val="008551B1"/>
    <w:rsid w:val="0085682B"/>
    <w:rsid w:val="00860D4B"/>
    <w:rsid w:val="0086263E"/>
    <w:rsid w:val="00862B61"/>
    <w:rsid w:val="00862D0C"/>
    <w:rsid w:val="008678D7"/>
    <w:rsid w:val="008679CF"/>
    <w:rsid w:val="00872142"/>
    <w:rsid w:val="00872A49"/>
    <w:rsid w:val="0087736A"/>
    <w:rsid w:val="00880E2D"/>
    <w:rsid w:val="00884CA0"/>
    <w:rsid w:val="0088735A"/>
    <w:rsid w:val="00893F82"/>
    <w:rsid w:val="008942BF"/>
    <w:rsid w:val="00894991"/>
    <w:rsid w:val="00894A05"/>
    <w:rsid w:val="00895054"/>
    <w:rsid w:val="00897234"/>
    <w:rsid w:val="008A3F2B"/>
    <w:rsid w:val="008A59D6"/>
    <w:rsid w:val="008A6D79"/>
    <w:rsid w:val="008A73BD"/>
    <w:rsid w:val="008A79FC"/>
    <w:rsid w:val="008A7E7D"/>
    <w:rsid w:val="008B0EED"/>
    <w:rsid w:val="008B11FE"/>
    <w:rsid w:val="008B14B9"/>
    <w:rsid w:val="008B4821"/>
    <w:rsid w:val="008B4B70"/>
    <w:rsid w:val="008B7512"/>
    <w:rsid w:val="008C1023"/>
    <w:rsid w:val="008C26DF"/>
    <w:rsid w:val="008C5F54"/>
    <w:rsid w:val="008C69E1"/>
    <w:rsid w:val="008C7CBA"/>
    <w:rsid w:val="008D192E"/>
    <w:rsid w:val="008D36AA"/>
    <w:rsid w:val="008D4566"/>
    <w:rsid w:val="008D5126"/>
    <w:rsid w:val="008D56D2"/>
    <w:rsid w:val="008D5E00"/>
    <w:rsid w:val="008E23F4"/>
    <w:rsid w:val="008E2467"/>
    <w:rsid w:val="008E32A3"/>
    <w:rsid w:val="008E4A57"/>
    <w:rsid w:val="008E5501"/>
    <w:rsid w:val="008E5DBD"/>
    <w:rsid w:val="008F1157"/>
    <w:rsid w:val="008F1A85"/>
    <w:rsid w:val="008F4D10"/>
    <w:rsid w:val="008F693C"/>
    <w:rsid w:val="008F7333"/>
    <w:rsid w:val="0090275E"/>
    <w:rsid w:val="009027D3"/>
    <w:rsid w:val="00906385"/>
    <w:rsid w:val="00907F20"/>
    <w:rsid w:val="0091052C"/>
    <w:rsid w:val="0091197A"/>
    <w:rsid w:val="009170EE"/>
    <w:rsid w:val="009202A2"/>
    <w:rsid w:val="00920C5B"/>
    <w:rsid w:val="00921BAD"/>
    <w:rsid w:val="00922D2A"/>
    <w:rsid w:val="00922DE4"/>
    <w:rsid w:val="00923B7E"/>
    <w:rsid w:val="00923D0B"/>
    <w:rsid w:val="00923DDD"/>
    <w:rsid w:val="0092718A"/>
    <w:rsid w:val="009273BD"/>
    <w:rsid w:val="00930F58"/>
    <w:rsid w:val="009332F8"/>
    <w:rsid w:val="00933FE4"/>
    <w:rsid w:val="009342D6"/>
    <w:rsid w:val="00935B94"/>
    <w:rsid w:val="00936E60"/>
    <w:rsid w:val="0094180C"/>
    <w:rsid w:val="00943A8E"/>
    <w:rsid w:val="009457F5"/>
    <w:rsid w:val="00946BA8"/>
    <w:rsid w:val="00946D9D"/>
    <w:rsid w:val="00952A8E"/>
    <w:rsid w:val="00952F93"/>
    <w:rsid w:val="009541F9"/>
    <w:rsid w:val="00957983"/>
    <w:rsid w:val="00963ABB"/>
    <w:rsid w:val="009640B0"/>
    <w:rsid w:val="009649B3"/>
    <w:rsid w:val="00965739"/>
    <w:rsid w:val="00966175"/>
    <w:rsid w:val="00970397"/>
    <w:rsid w:val="009704EE"/>
    <w:rsid w:val="00970A7B"/>
    <w:rsid w:val="00971F80"/>
    <w:rsid w:val="00973E31"/>
    <w:rsid w:val="00980B18"/>
    <w:rsid w:val="00985960"/>
    <w:rsid w:val="00986BEE"/>
    <w:rsid w:val="0099627B"/>
    <w:rsid w:val="009A1155"/>
    <w:rsid w:val="009A166F"/>
    <w:rsid w:val="009A2326"/>
    <w:rsid w:val="009A346E"/>
    <w:rsid w:val="009A3861"/>
    <w:rsid w:val="009A39D4"/>
    <w:rsid w:val="009A5485"/>
    <w:rsid w:val="009A7912"/>
    <w:rsid w:val="009B0E1E"/>
    <w:rsid w:val="009B1CF4"/>
    <w:rsid w:val="009B1E9F"/>
    <w:rsid w:val="009C0619"/>
    <w:rsid w:val="009C14A1"/>
    <w:rsid w:val="009C1E6E"/>
    <w:rsid w:val="009C2FB5"/>
    <w:rsid w:val="009C458E"/>
    <w:rsid w:val="009D0797"/>
    <w:rsid w:val="009D0880"/>
    <w:rsid w:val="009D1D36"/>
    <w:rsid w:val="009D1EA9"/>
    <w:rsid w:val="009D3D37"/>
    <w:rsid w:val="009D4747"/>
    <w:rsid w:val="009D624B"/>
    <w:rsid w:val="009D6DAC"/>
    <w:rsid w:val="009D7895"/>
    <w:rsid w:val="009D7C4A"/>
    <w:rsid w:val="009E19E5"/>
    <w:rsid w:val="009E2AD3"/>
    <w:rsid w:val="009E4871"/>
    <w:rsid w:val="009E4F5C"/>
    <w:rsid w:val="009E55AE"/>
    <w:rsid w:val="009E55D1"/>
    <w:rsid w:val="009E7B6A"/>
    <w:rsid w:val="009F0DA7"/>
    <w:rsid w:val="009F1078"/>
    <w:rsid w:val="009F16CA"/>
    <w:rsid w:val="009F7F3A"/>
    <w:rsid w:val="009F7FF6"/>
    <w:rsid w:val="00A02352"/>
    <w:rsid w:val="00A0405D"/>
    <w:rsid w:val="00A050B2"/>
    <w:rsid w:val="00A06CE4"/>
    <w:rsid w:val="00A07775"/>
    <w:rsid w:val="00A13BB6"/>
    <w:rsid w:val="00A13C99"/>
    <w:rsid w:val="00A17A80"/>
    <w:rsid w:val="00A21176"/>
    <w:rsid w:val="00A21867"/>
    <w:rsid w:val="00A22C53"/>
    <w:rsid w:val="00A22E49"/>
    <w:rsid w:val="00A24983"/>
    <w:rsid w:val="00A25129"/>
    <w:rsid w:val="00A259AF"/>
    <w:rsid w:val="00A300AC"/>
    <w:rsid w:val="00A31784"/>
    <w:rsid w:val="00A32DA1"/>
    <w:rsid w:val="00A35408"/>
    <w:rsid w:val="00A360E7"/>
    <w:rsid w:val="00A36758"/>
    <w:rsid w:val="00A414F9"/>
    <w:rsid w:val="00A41D62"/>
    <w:rsid w:val="00A43AC5"/>
    <w:rsid w:val="00A4503A"/>
    <w:rsid w:val="00A453F6"/>
    <w:rsid w:val="00A475AC"/>
    <w:rsid w:val="00A477BD"/>
    <w:rsid w:val="00A56643"/>
    <w:rsid w:val="00A57301"/>
    <w:rsid w:val="00A60899"/>
    <w:rsid w:val="00A62CE5"/>
    <w:rsid w:val="00A63EC1"/>
    <w:rsid w:val="00A6637A"/>
    <w:rsid w:val="00A66466"/>
    <w:rsid w:val="00A71622"/>
    <w:rsid w:val="00A72AB1"/>
    <w:rsid w:val="00A748BF"/>
    <w:rsid w:val="00A759DF"/>
    <w:rsid w:val="00A77B0A"/>
    <w:rsid w:val="00A77C90"/>
    <w:rsid w:val="00A83067"/>
    <w:rsid w:val="00A84ADE"/>
    <w:rsid w:val="00A86F4F"/>
    <w:rsid w:val="00A8711F"/>
    <w:rsid w:val="00A917D6"/>
    <w:rsid w:val="00A91BDD"/>
    <w:rsid w:val="00A92585"/>
    <w:rsid w:val="00A935F3"/>
    <w:rsid w:val="00A93993"/>
    <w:rsid w:val="00A949FB"/>
    <w:rsid w:val="00A96BC7"/>
    <w:rsid w:val="00AA0CBB"/>
    <w:rsid w:val="00AA13E5"/>
    <w:rsid w:val="00AA3D4B"/>
    <w:rsid w:val="00AA45F3"/>
    <w:rsid w:val="00AA4750"/>
    <w:rsid w:val="00AB1B5D"/>
    <w:rsid w:val="00AB30DA"/>
    <w:rsid w:val="00AB3CB4"/>
    <w:rsid w:val="00AB4B44"/>
    <w:rsid w:val="00AB6C28"/>
    <w:rsid w:val="00AB728B"/>
    <w:rsid w:val="00AC1A87"/>
    <w:rsid w:val="00AC333A"/>
    <w:rsid w:val="00AC4601"/>
    <w:rsid w:val="00AC50A6"/>
    <w:rsid w:val="00AC76DB"/>
    <w:rsid w:val="00AD0383"/>
    <w:rsid w:val="00AD0647"/>
    <w:rsid w:val="00AD0CE6"/>
    <w:rsid w:val="00AD42E1"/>
    <w:rsid w:val="00AD4A38"/>
    <w:rsid w:val="00AE13E8"/>
    <w:rsid w:val="00AE5BB6"/>
    <w:rsid w:val="00AE78CA"/>
    <w:rsid w:val="00AF0899"/>
    <w:rsid w:val="00AF3901"/>
    <w:rsid w:val="00AF39EE"/>
    <w:rsid w:val="00AF3B66"/>
    <w:rsid w:val="00AF62D7"/>
    <w:rsid w:val="00AF7282"/>
    <w:rsid w:val="00B01200"/>
    <w:rsid w:val="00B028D7"/>
    <w:rsid w:val="00B02A44"/>
    <w:rsid w:val="00B032D5"/>
    <w:rsid w:val="00B05021"/>
    <w:rsid w:val="00B06524"/>
    <w:rsid w:val="00B0770F"/>
    <w:rsid w:val="00B100D7"/>
    <w:rsid w:val="00B10EE6"/>
    <w:rsid w:val="00B11CA6"/>
    <w:rsid w:val="00B1326C"/>
    <w:rsid w:val="00B14F0B"/>
    <w:rsid w:val="00B17D49"/>
    <w:rsid w:val="00B20456"/>
    <w:rsid w:val="00B219DA"/>
    <w:rsid w:val="00B257B2"/>
    <w:rsid w:val="00B2587F"/>
    <w:rsid w:val="00B35298"/>
    <w:rsid w:val="00B362AC"/>
    <w:rsid w:val="00B36486"/>
    <w:rsid w:val="00B36508"/>
    <w:rsid w:val="00B41207"/>
    <w:rsid w:val="00B44ABC"/>
    <w:rsid w:val="00B44D72"/>
    <w:rsid w:val="00B47CDF"/>
    <w:rsid w:val="00B501EA"/>
    <w:rsid w:val="00B51A65"/>
    <w:rsid w:val="00B52AAE"/>
    <w:rsid w:val="00B52B55"/>
    <w:rsid w:val="00B52F79"/>
    <w:rsid w:val="00B566C0"/>
    <w:rsid w:val="00B5712A"/>
    <w:rsid w:val="00B5712F"/>
    <w:rsid w:val="00B5754A"/>
    <w:rsid w:val="00B716F6"/>
    <w:rsid w:val="00B73178"/>
    <w:rsid w:val="00B7442E"/>
    <w:rsid w:val="00B80C90"/>
    <w:rsid w:val="00B81D7C"/>
    <w:rsid w:val="00B8203D"/>
    <w:rsid w:val="00B828D2"/>
    <w:rsid w:val="00B82BC0"/>
    <w:rsid w:val="00B82C03"/>
    <w:rsid w:val="00B83AEB"/>
    <w:rsid w:val="00B84120"/>
    <w:rsid w:val="00B84247"/>
    <w:rsid w:val="00B84491"/>
    <w:rsid w:val="00B84C90"/>
    <w:rsid w:val="00B871E8"/>
    <w:rsid w:val="00B92345"/>
    <w:rsid w:val="00B965C2"/>
    <w:rsid w:val="00B96D42"/>
    <w:rsid w:val="00B97511"/>
    <w:rsid w:val="00BA065C"/>
    <w:rsid w:val="00BA0ADA"/>
    <w:rsid w:val="00BA50E5"/>
    <w:rsid w:val="00BA61C5"/>
    <w:rsid w:val="00BA6283"/>
    <w:rsid w:val="00BA7146"/>
    <w:rsid w:val="00BA76C7"/>
    <w:rsid w:val="00BB0420"/>
    <w:rsid w:val="00BB0649"/>
    <w:rsid w:val="00BB0888"/>
    <w:rsid w:val="00BB3EE4"/>
    <w:rsid w:val="00BB50D0"/>
    <w:rsid w:val="00BB5C98"/>
    <w:rsid w:val="00BB6D44"/>
    <w:rsid w:val="00BC04E1"/>
    <w:rsid w:val="00BC15DD"/>
    <w:rsid w:val="00BC1CEE"/>
    <w:rsid w:val="00BC203B"/>
    <w:rsid w:val="00BC2B40"/>
    <w:rsid w:val="00BC38BB"/>
    <w:rsid w:val="00BC541E"/>
    <w:rsid w:val="00BD3C95"/>
    <w:rsid w:val="00BD5B9A"/>
    <w:rsid w:val="00BD5C8C"/>
    <w:rsid w:val="00BD65DC"/>
    <w:rsid w:val="00BE1797"/>
    <w:rsid w:val="00BE355A"/>
    <w:rsid w:val="00BE4418"/>
    <w:rsid w:val="00BE4F68"/>
    <w:rsid w:val="00BE5895"/>
    <w:rsid w:val="00BE692D"/>
    <w:rsid w:val="00BF1E20"/>
    <w:rsid w:val="00BF5C4F"/>
    <w:rsid w:val="00BF66B6"/>
    <w:rsid w:val="00BF6790"/>
    <w:rsid w:val="00BF6DA6"/>
    <w:rsid w:val="00C01C71"/>
    <w:rsid w:val="00C02402"/>
    <w:rsid w:val="00C02A31"/>
    <w:rsid w:val="00C11655"/>
    <w:rsid w:val="00C13378"/>
    <w:rsid w:val="00C16E82"/>
    <w:rsid w:val="00C21169"/>
    <w:rsid w:val="00C2351A"/>
    <w:rsid w:val="00C25F69"/>
    <w:rsid w:val="00C30212"/>
    <w:rsid w:val="00C31295"/>
    <w:rsid w:val="00C313AC"/>
    <w:rsid w:val="00C31430"/>
    <w:rsid w:val="00C316C8"/>
    <w:rsid w:val="00C318ED"/>
    <w:rsid w:val="00C342BB"/>
    <w:rsid w:val="00C3635A"/>
    <w:rsid w:val="00C40D01"/>
    <w:rsid w:val="00C410F6"/>
    <w:rsid w:val="00C43BD9"/>
    <w:rsid w:val="00C507C9"/>
    <w:rsid w:val="00C50F7F"/>
    <w:rsid w:val="00C52CCF"/>
    <w:rsid w:val="00C54E52"/>
    <w:rsid w:val="00C56703"/>
    <w:rsid w:val="00C57794"/>
    <w:rsid w:val="00C57F3E"/>
    <w:rsid w:val="00C60B2D"/>
    <w:rsid w:val="00C61B3F"/>
    <w:rsid w:val="00C63449"/>
    <w:rsid w:val="00C63846"/>
    <w:rsid w:val="00C63897"/>
    <w:rsid w:val="00C65ED3"/>
    <w:rsid w:val="00C67776"/>
    <w:rsid w:val="00C67F5F"/>
    <w:rsid w:val="00C718B6"/>
    <w:rsid w:val="00C74A2D"/>
    <w:rsid w:val="00C76018"/>
    <w:rsid w:val="00C80B96"/>
    <w:rsid w:val="00C82E19"/>
    <w:rsid w:val="00C84833"/>
    <w:rsid w:val="00C957E7"/>
    <w:rsid w:val="00CA2F6F"/>
    <w:rsid w:val="00CA3DBA"/>
    <w:rsid w:val="00CA5022"/>
    <w:rsid w:val="00CA5780"/>
    <w:rsid w:val="00CA6594"/>
    <w:rsid w:val="00CA7812"/>
    <w:rsid w:val="00CB4378"/>
    <w:rsid w:val="00CB4821"/>
    <w:rsid w:val="00CB7BD2"/>
    <w:rsid w:val="00CC01DA"/>
    <w:rsid w:val="00CC4D82"/>
    <w:rsid w:val="00CC58BE"/>
    <w:rsid w:val="00CC6530"/>
    <w:rsid w:val="00CD2136"/>
    <w:rsid w:val="00CD2ED4"/>
    <w:rsid w:val="00CD4826"/>
    <w:rsid w:val="00CD4BC0"/>
    <w:rsid w:val="00CD61E8"/>
    <w:rsid w:val="00CD6E22"/>
    <w:rsid w:val="00CD76E3"/>
    <w:rsid w:val="00CE1C0F"/>
    <w:rsid w:val="00CE2607"/>
    <w:rsid w:val="00CE435F"/>
    <w:rsid w:val="00CE600A"/>
    <w:rsid w:val="00CF1DF6"/>
    <w:rsid w:val="00CF2966"/>
    <w:rsid w:val="00CF34FD"/>
    <w:rsid w:val="00CF427E"/>
    <w:rsid w:val="00D0361E"/>
    <w:rsid w:val="00D06BF8"/>
    <w:rsid w:val="00D100ED"/>
    <w:rsid w:val="00D11A1D"/>
    <w:rsid w:val="00D15DC5"/>
    <w:rsid w:val="00D20D6C"/>
    <w:rsid w:val="00D220A8"/>
    <w:rsid w:val="00D22198"/>
    <w:rsid w:val="00D22291"/>
    <w:rsid w:val="00D230CE"/>
    <w:rsid w:val="00D23640"/>
    <w:rsid w:val="00D272D7"/>
    <w:rsid w:val="00D273C0"/>
    <w:rsid w:val="00D27D4C"/>
    <w:rsid w:val="00D27DA7"/>
    <w:rsid w:val="00D3195D"/>
    <w:rsid w:val="00D3317B"/>
    <w:rsid w:val="00D33F94"/>
    <w:rsid w:val="00D348CF"/>
    <w:rsid w:val="00D40F58"/>
    <w:rsid w:val="00D412D3"/>
    <w:rsid w:val="00D41586"/>
    <w:rsid w:val="00D41853"/>
    <w:rsid w:val="00D41B1C"/>
    <w:rsid w:val="00D41D1D"/>
    <w:rsid w:val="00D44F1B"/>
    <w:rsid w:val="00D4666C"/>
    <w:rsid w:val="00D47EC7"/>
    <w:rsid w:val="00D54847"/>
    <w:rsid w:val="00D55341"/>
    <w:rsid w:val="00D5726A"/>
    <w:rsid w:val="00D60A7C"/>
    <w:rsid w:val="00D63E77"/>
    <w:rsid w:val="00D6456E"/>
    <w:rsid w:val="00D64C10"/>
    <w:rsid w:val="00D6707B"/>
    <w:rsid w:val="00D70BE8"/>
    <w:rsid w:val="00D74238"/>
    <w:rsid w:val="00D74537"/>
    <w:rsid w:val="00D75CCC"/>
    <w:rsid w:val="00D75EF7"/>
    <w:rsid w:val="00D8069C"/>
    <w:rsid w:val="00D81F68"/>
    <w:rsid w:val="00D838DC"/>
    <w:rsid w:val="00D83FF0"/>
    <w:rsid w:val="00D85336"/>
    <w:rsid w:val="00D86315"/>
    <w:rsid w:val="00D9017D"/>
    <w:rsid w:val="00D92109"/>
    <w:rsid w:val="00D93560"/>
    <w:rsid w:val="00D93DAA"/>
    <w:rsid w:val="00D96AD7"/>
    <w:rsid w:val="00DA1E94"/>
    <w:rsid w:val="00DA2430"/>
    <w:rsid w:val="00DA2CCE"/>
    <w:rsid w:val="00DA39EA"/>
    <w:rsid w:val="00DB0AF5"/>
    <w:rsid w:val="00DB5181"/>
    <w:rsid w:val="00DB7D38"/>
    <w:rsid w:val="00DC284D"/>
    <w:rsid w:val="00DC6288"/>
    <w:rsid w:val="00DD3686"/>
    <w:rsid w:val="00DD5752"/>
    <w:rsid w:val="00DD5BCB"/>
    <w:rsid w:val="00DD729D"/>
    <w:rsid w:val="00DE31DD"/>
    <w:rsid w:val="00DE3496"/>
    <w:rsid w:val="00DE4D36"/>
    <w:rsid w:val="00DE679E"/>
    <w:rsid w:val="00DE7FCF"/>
    <w:rsid w:val="00DF001D"/>
    <w:rsid w:val="00DF0661"/>
    <w:rsid w:val="00DF1A3F"/>
    <w:rsid w:val="00DF23DA"/>
    <w:rsid w:val="00DF4F6C"/>
    <w:rsid w:val="00DF50AE"/>
    <w:rsid w:val="00DF7EE9"/>
    <w:rsid w:val="00DF7F88"/>
    <w:rsid w:val="00E0031B"/>
    <w:rsid w:val="00E00C86"/>
    <w:rsid w:val="00E022D7"/>
    <w:rsid w:val="00E031DB"/>
    <w:rsid w:val="00E04E26"/>
    <w:rsid w:val="00E063C9"/>
    <w:rsid w:val="00E06736"/>
    <w:rsid w:val="00E073CE"/>
    <w:rsid w:val="00E12936"/>
    <w:rsid w:val="00E1407A"/>
    <w:rsid w:val="00E171DE"/>
    <w:rsid w:val="00E173EF"/>
    <w:rsid w:val="00E23C7E"/>
    <w:rsid w:val="00E25700"/>
    <w:rsid w:val="00E2647F"/>
    <w:rsid w:val="00E2696E"/>
    <w:rsid w:val="00E30CAB"/>
    <w:rsid w:val="00E32B4B"/>
    <w:rsid w:val="00E331E8"/>
    <w:rsid w:val="00E33533"/>
    <w:rsid w:val="00E35A2E"/>
    <w:rsid w:val="00E37272"/>
    <w:rsid w:val="00E37499"/>
    <w:rsid w:val="00E41B5D"/>
    <w:rsid w:val="00E43023"/>
    <w:rsid w:val="00E43A59"/>
    <w:rsid w:val="00E45957"/>
    <w:rsid w:val="00E477C2"/>
    <w:rsid w:val="00E47B62"/>
    <w:rsid w:val="00E529C2"/>
    <w:rsid w:val="00E5326D"/>
    <w:rsid w:val="00E53EC5"/>
    <w:rsid w:val="00E562C6"/>
    <w:rsid w:val="00E6546A"/>
    <w:rsid w:val="00E65B96"/>
    <w:rsid w:val="00E71FBC"/>
    <w:rsid w:val="00E7223B"/>
    <w:rsid w:val="00E72A8A"/>
    <w:rsid w:val="00E751F1"/>
    <w:rsid w:val="00E75894"/>
    <w:rsid w:val="00E75BBF"/>
    <w:rsid w:val="00E76C98"/>
    <w:rsid w:val="00E80438"/>
    <w:rsid w:val="00E8350C"/>
    <w:rsid w:val="00E8394C"/>
    <w:rsid w:val="00E84DCC"/>
    <w:rsid w:val="00E93614"/>
    <w:rsid w:val="00E96150"/>
    <w:rsid w:val="00E963E0"/>
    <w:rsid w:val="00EA1429"/>
    <w:rsid w:val="00EA24E5"/>
    <w:rsid w:val="00EA3A94"/>
    <w:rsid w:val="00EA4872"/>
    <w:rsid w:val="00EA632F"/>
    <w:rsid w:val="00EA759B"/>
    <w:rsid w:val="00EB3518"/>
    <w:rsid w:val="00EB3E3A"/>
    <w:rsid w:val="00EC0C6A"/>
    <w:rsid w:val="00EC3491"/>
    <w:rsid w:val="00EC3E4F"/>
    <w:rsid w:val="00ED00CF"/>
    <w:rsid w:val="00ED5058"/>
    <w:rsid w:val="00ED5919"/>
    <w:rsid w:val="00ED78E0"/>
    <w:rsid w:val="00EE1DC3"/>
    <w:rsid w:val="00EE1F12"/>
    <w:rsid w:val="00EE35F4"/>
    <w:rsid w:val="00EF072A"/>
    <w:rsid w:val="00EF136B"/>
    <w:rsid w:val="00EF1376"/>
    <w:rsid w:val="00EF74F5"/>
    <w:rsid w:val="00F06B81"/>
    <w:rsid w:val="00F10DBC"/>
    <w:rsid w:val="00F12F30"/>
    <w:rsid w:val="00F14CD9"/>
    <w:rsid w:val="00F17E8A"/>
    <w:rsid w:val="00F2018D"/>
    <w:rsid w:val="00F2268F"/>
    <w:rsid w:val="00F27028"/>
    <w:rsid w:val="00F2762C"/>
    <w:rsid w:val="00F30782"/>
    <w:rsid w:val="00F32B93"/>
    <w:rsid w:val="00F36995"/>
    <w:rsid w:val="00F37A5F"/>
    <w:rsid w:val="00F40A54"/>
    <w:rsid w:val="00F41E21"/>
    <w:rsid w:val="00F468C3"/>
    <w:rsid w:val="00F47492"/>
    <w:rsid w:val="00F504ED"/>
    <w:rsid w:val="00F51D8D"/>
    <w:rsid w:val="00F54F5C"/>
    <w:rsid w:val="00F56B6B"/>
    <w:rsid w:val="00F57980"/>
    <w:rsid w:val="00F600EA"/>
    <w:rsid w:val="00F60229"/>
    <w:rsid w:val="00F61A85"/>
    <w:rsid w:val="00F65028"/>
    <w:rsid w:val="00F65C16"/>
    <w:rsid w:val="00F65CF7"/>
    <w:rsid w:val="00F741B8"/>
    <w:rsid w:val="00F76C04"/>
    <w:rsid w:val="00F77F5D"/>
    <w:rsid w:val="00F81126"/>
    <w:rsid w:val="00F83561"/>
    <w:rsid w:val="00F845FC"/>
    <w:rsid w:val="00F872FD"/>
    <w:rsid w:val="00F87312"/>
    <w:rsid w:val="00F87CEE"/>
    <w:rsid w:val="00F87D6B"/>
    <w:rsid w:val="00F91A17"/>
    <w:rsid w:val="00F91D5D"/>
    <w:rsid w:val="00F91F66"/>
    <w:rsid w:val="00F93027"/>
    <w:rsid w:val="00F9327C"/>
    <w:rsid w:val="00F93FBE"/>
    <w:rsid w:val="00FA0E54"/>
    <w:rsid w:val="00FA31E2"/>
    <w:rsid w:val="00FA403F"/>
    <w:rsid w:val="00FA406D"/>
    <w:rsid w:val="00FA48F6"/>
    <w:rsid w:val="00FA513C"/>
    <w:rsid w:val="00FA6764"/>
    <w:rsid w:val="00FB016B"/>
    <w:rsid w:val="00FB1A1D"/>
    <w:rsid w:val="00FB1F88"/>
    <w:rsid w:val="00FC0CD8"/>
    <w:rsid w:val="00FC2B44"/>
    <w:rsid w:val="00FC5775"/>
    <w:rsid w:val="00FC6F53"/>
    <w:rsid w:val="00FC7FD5"/>
    <w:rsid w:val="00FD0E6B"/>
    <w:rsid w:val="00FD5F37"/>
    <w:rsid w:val="00FE0291"/>
    <w:rsid w:val="00FE194B"/>
    <w:rsid w:val="00FE2E10"/>
    <w:rsid w:val="00FE445C"/>
    <w:rsid w:val="00FF040E"/>
    <w:rsid w:val="00FF1093"/>
    <w:rsid w:val="00FF261A"/>
    <w:rsid w:val="00FF4522"/>
    <w:rsid w:val="00FF623B"/>
    <w:rsid w:val="00FF651B"/>
    <w:rsid w:val="00FF7E40"/>
    <w:rsid w:val="0120CB2A"/>
    <w:rsid w:val="01E08550"/>
    <w:rsid w:val="03E5402A"/>
    <w:rsid w:val="04640F47"/>
    <w:rsid w:val="05312DAC"/>
    <w:rsid w:val="056E3407"/>
    <w:rsid w:val="060A95DC"/>
    <w:rsid w:val="0769BBDD"/>
    <w:rsid w:val="0F4B4C96"/>
    <w:rsid w:val="10F3CCD6"/>
    <w:rsid w:val="11AC1CEF"/>
    <w:rsid w:val="1278CDA5"/>
    <w:rsid w:val="133BD050"/>
    <w:rsid w:val="14B7D465"/>
    <w:rsid w:val="158EF0B8"/>
    <w:rsid w:val="182992F5"/>
    <w:rsid w:val="193885EB"/>
    <w:rsid w:val="197C0A65"/>
    <w:rsid w:val="1BC26CB0"/>
    <w:rsid w:val="1CD4F0D3"/>
    <w:rsid w:val="2119D34A"/>
    <w:rsid w:val="231E1B5C"/>
    <w:rsid w:val="24A3432B"/>
    <w:rsid w:val="2579BA47"/>
    <w:rsid w:val="25F913AF"/>
    <w:rsid w:val="26EF9B87"/>
    <w:rsid w:val="2EC590D6"/>
    <w:rsid w:val="2F9E8CF5"/>
    <w:rsid w:val="320C4563"/>
    <w:rsid w:val="321E5A72"/>
    <w:rsid w:val="3C00C330"/>
    <w:rsid w:val="3C16A3B2"/>
    <w:rsid w:val="3C4AC6B9"/>
    <w:rsid w:val="3C783743"/>
    <w:rsid w:val="3CFCD510"/>
    <w:rsid w:val="3D89E145"/>
    <w:rsid w:val="3E6C4006"/>
    <w:rsid w:val="3EBC50A5"/>
    <w:rsid w:val="423F3C35"/>
    <w:rsid w:val="424B2122"/>
    <w:rsid w:val="43B6603B"/>
    <w:rsid w:val="4712CF66"/>
    <w:rsid w:val="47305F68"/>
    <w:rsid w:val="488A814B"/>
    <w:rsid w:val="4AAF223C"/>
    <w:rsid w:val="4BA1D0EE"/>
    <w:rsid w:val="511E0268"/>
    <w:rsid w:val="55CED265"/>
    <w:rsid w:val="5692FC34"/>
    <w:rsid w:val="56CB566D"/>
    <w:rsid w:val="5AC38F4E"/>
    <w:rsid w:val="5B6DCA88"/>
    <w:rsid w:val="5EC22743"/>
    <w:rsid w:val="5F112FDA"/>
    <w:rsid w:val="5F73AEF7"/>
    <w:rsid w:val="61180CA4"/>
    <w:rsid w:val="6200DFAF"/>
    <w:rsid w:val="65AD10C7"/>
    <w:rsid w:val="67D58E7D"/>
    <w:rsid w:val="6B522907"/>
    <w:rsid w:val="6C659779"/>
    <w:rsid w:val="6DE1840D"/>
    <w:rsid w:val="6EC9C15D"/>
    <w:rsid w:val="751D1F63"/>
    <w:rsid w:val="755AF242"/>
    <w:rsid w:val="75ACE388"/>
    <w:rsid w:val="75B67573"/>
    <w:rsid w:val="76E68017"/>
    <w:rsid w:val="78186B19"/>
    <w:rsid w:val="793402F0"/>
    <w:rsid w:val="79C4A8CD"/>
    <w:rsid w:val="7A26C58B"/>
    <w:rsid w:val="7CCE6189"/>
    <w:rsid w:val="7EA0B639"/>
    <w:rsid w:val="7FE0D00C"/>
  </w:rsids>
  <m:mathPr>
    <m:mathFont m:val="Cambria Math"/>
    <m:brkBin m:val="before"/>
    <m:brkBinSub m:val="--"/>
    <m:smallFrac m:val="0"/>
    <m:dispDef/>
    <m:lMargin m:val="0"/>
    <m:rMargin m:val="0"/>
    <m:defJc m:val="centerGroup"/>
    <m:wrapIndent m:val="1440"/>
    <m:intLim m:val="subSup"/>
    <m:naryLim m:val="undOvr"/>
  </m:mathPr>
  <w:themeFontLang w:val="es-ES_tradn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6A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53"/>
    <w:pPr>
      <w:spacing w:after="200" w:line="276" w:lineRule="auto"/>
    </w:pPr>
    <w:rPr>
      <w:sz w:val="22"/>
      <w:szCs w:val="22"/>
      <w:lang w:val="es-CO" w:eastAsia="en-US"/>
    </w:rPr>
  </w:style>
  <w:style w:type="paragraph" w:styleId="Ttulo2">
    <w:name w:val="heading 2"/>
    <w:basedOn w:val="Normal"/>
    <w:link w:val="Ttulo2Car"/>
    <w:uiPriority w:val="9"/>
    <w:qFormat/>
    <w:rsid w:val="002F227E"/>
    <w:pPr>
      <w:spacing w:before="100" w:beforeAutospacing="1" w:after="100" w:afterAutospacing="1" w:line="240" w:lineRule="auto"/>
      <w:outlineLvl w:val="1"/>
    </w:pPr>
    <w:rPr>
      <w:rFonts w:ascii="Times New Roman" w:eastAsia="Times New Roman" w:hAnsi="Times New Roman"/>
      <w:b/>
      <w:bCs/>
      <w:sz w:val="36"/>
      <w:szCs w:val="36"/>
      <w:lang w:eastAsia="es-CO"/>
    </w:rPr>
  </w:style>
  <w:style w:type="paragraph" w:styleId="Ttulo4">
    <w:name w:val="heading 4"/>
    <w:basedOn w:val="Normal"/>
    <w:next w:val="Normal"/>
    <w:link w:val="Ttulo4Car"/>
    <w:uiPriority w:val="9"/>
    <w:semiHidden/>
    <w:unhideWhenUsed/>
    <w:qFormat/>
    <w:rsid w:val="006F55A7"/>
    <w:pPr>
      <w:keepNext/>
      <w:keepLines/>
      <w:spacing w:before="40" w:after="0"/>
      <w:outlineLvl w:val="3"/>
    </w:pPr>
    <w:rPr>
      <w:rFonts w:asciiTheme="majorHAnsi" w:eastAsiaTheme="majorEastAsia" w:hAnsiTheme="majorHAnsi" w:cstheme="majorBidi"/>
      <w:i/>
      <w:iCs/>
      <w:color w:val="B43412"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35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518"/>
  </w:style>
  <w:style w:type="paragraph" w:styleId="Piedepgina">
    <w:name w:val="footer"/>
    <w:basedOn w:val="Normal"/>
    <w:link w:val="PiedepginaCar"/>
    <w:uiPriority w:val="99"/>
    <w:unhideWhenUsed/>
    <w:rsid w:val="00EB3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518"/>
  </w:style>
  <w:style w:type="paragraph" w:styleId="Textodeglobo">
    <w:name w:val="Balloon Text"/>
    <w:basedOn w:val="Normal"/>
    <w:link w:val="TextodegloboCar"/>
    <w:uiPriority w:val="99"/>
    <w:semiHidden/>
    <w:unhideWhenUsed/>
    <w:rsid w:val="00EB3518"/>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B3518"/>
    <w:rPr>
      <w:rFonts w:ascii="Tahoma" w:hAnsi="Tahoma" w:cs="Tahoma"/>
      <w:sz w:val="16"/>
      <w:szCs w:val="16"/>
    </w:rPr>
  </w:style>
  <w:style w:type="paragraph" w:customStyle="1" w:styleId="Car">
    <w:name w:val="Car"/>
    <w:basedOn w:val="Normal"/>
    <w:rsid w:val="00304081"/>
    <w:pPr>
      <w:spacing w:after="160" w:line="240" w:lineRule="exact"/>
    </w:pPr>
    <w:rPr>
      <w:rFonts w:ascii="Verdana" w:eastAsia="Times New Roman" w:hAnsi="Verdana"/>
      <w:sz w:val="20"/>
      <w:szCs w:val="20"/>
      <w:lang w:val="es-ES"/>
    </w:rPr>
  </w:style>
  <w:style w:type="character" w:styleId="Nmerodepgina">
    <w:name w:val="page number"/>
    <w:basedOn w:val="Fuentedeprrafopredeter"/>
    <w:rsid w:val="00304081"/>
  </w:style>
  <w:style w:type="character" w:styleId="Hipervnculo">
    <w:name w:val="Hyperlink"/>
    <w:uiPriority w:val="99"/>
    <w:unhideWhenUsed/>
    <w:rsid w:val="00531CEC"/>
    <w:rPr>
      <w:color w:val="0563C1"/>
      <w:u w:val="single"/>
    </w:rPr>
  </w:style>
  <w:style w:type="table" w:styleId="Tablaconcuadrcula">
    <w:name w:val="Table Grid"/>
    <w:basedOn w:val="Tablanormal"/>
    <w:uiPriority w:val="39"/>
    <w:rsid w:val="00F47492"/>
    <w:rPr>
      <w:rFonts w:ascii="Cambria" w:eastAsia="MS Mincho" w:hAnsi="Cambr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4273"/>
    <w:pPr>
      <w:ind w:left="720"/>
      <w:contextualSpacing/>
    </w:pPr>
  </w:style>
  <w:style w:type="paragraph" w:styleId="Textonotapie">
    <w:name w:val="footnote text"/>
    <w:basedOn w:val="Normal"/>
    <w:link w:val="TextonotapieCar"/>
    <w:uiPriority w:val="99"/>
    <w:semiHidden/>
    <w:unhideWhenUsed/>
    <w:rsid w:val="009E7B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7B6A"/>
    <w:rPr>
      <w:lang w:val="es-CO" w:eastAsia="en-US"/>
    </w:rPr>
  </w:style>
  <w:style w:type="character" w:styleId="Refdenotaalpie">
    <w:name w:val="footnote reference"/>
    <w:basedOn w:val="Fuentedeprrafopredeter"/>
    <w:uiPriority w:val="99"/>
    <w:semiHidden/>
    <w:unhideWhenUsed/>
    <w:rsid w:val="009E7B6A"/>
    <w:rPr>
      <w:vertAlign w:val="superscript"/>
    </w:rPr>
  </w:style>
  <w:style w:type="character" w:styleId="Textoennegrita">
    <w:name w:val="Strong"/>
    <w:basedOn w:val="Fuentedeprrafopredeter"/>
    <w:uiPriority w:val="22"/>
    <w:qFormat/>
    <w:rsid w:val="00D85336"/>
    <w:rPr>
      <w:b/>
      <w:bCs/>
    </w:rPr>
  </w:style>
  <w:style w:type="character" w:styleId="Refdecomentario">
    <w:name w:val="annotation reference"/>
    <w:basedOn w:val="Fuentedeprrafopredeter"/>
    <w:uiPriority w:val="99"/>
    <w:semiHidden/>
    <w:unhideWhenUsed/>
    <w:rsid w:val="00317CA3"/>
    <w:rPr>
      <w:sz w:val="16"/>
      <w:szCs w:val="16"/>
    </w:rPr>
  </w:style>
  <w:style w:type="paragraph" w:styleId="Textocomentario">
    <w:name w:val="annotation text"/>
    <w:basedOn w:val="Normal"/>
    <w:link w:val="TextocomentarioCar"/>
    <w:uiPriority w:val="99"/>
    <w:semiHidden/>
    <w:unhideWhenUsed/>
    <w:rsid w:val="00317C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7CA3"/>
    <w:rPr>
      <w:lang w:val="es-CO" w:eastAsia="en-US"/>
    </w:rPr>
  </w:style>
  <w:style w:type="paragraph" w:styleId="Asuntodelcomentario">
    <w:name w:val="annotation subject"/>
    <w:basedOn w:val="Textocomentario"/>
    <w:next w:val="Textocomentario"/>
    <w:link w:val="AsuntodelcomentarioCar"/>
    <w:uiPriority w:val="99"/>
    <w:semiHidden/>
    <w:unhideWhenUsed/>
    <w:rsid w:val="00317CA3"/>
    <w:rPr>
      <w:b/>
      <w:bCs/>
    </w:rPr>
  </w:style>
  <w:style w:type="character" w:customStyle="1" w:styleId="AsuntodelcomentarioCar">
    <w:name w:val="Asunto del comentario Car"/>
    <w:basedOn w:val="TextocomentarioCar"/>
    <w:link w:val="Asuntodelcomentario"/>
    <w:uiPriority w:val="99"/>
    <w:semiHidden/>
    <w:rsid w:val="00317CA3"/>
    <w:rPr>
      <w:b/>
      <w:bCs/>
      <w:lang w:val="es-CO" w:eastAsia="en-US"/>
    </w:rPr>
  </w:style>
  <w:style w:type="paragraph" w:styleId="NormalWeb">
    <w:name w:val="Normal (Web)"/>
    <w:basedOn w:val="Normal"/>
    <w:uiPriority w:val="99"/>
    <w:unhideWhenUsed/>
    <w:rsid w:val="00FE194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EF1376"/>
    <w:pPr>
      <w:autoSpaceDE w:val="0"/>
      <w:autoSpaceDN w:val="0"/>
      <w:adjustRightInd w:val="0"/>
    </w:pPr>
    <w:rPr>
      <w:rFonts w:ascii="Arial" w:hAnsi="Arial" w:cs="Arial"/>
      <w:color w:val="000000"/>
      <w:sz w:val="24"/>
      <w:szCs w:val="24"/>
      <w:lang w:val="es-MX" w:eastAsia="es-MX"/>
    </w:rPr>
  </w:style>
  <w:style w:type="paragraph" w:styleId="Sinespaciado">
    <w:name w:val="No Spacing"/>
    <w:uiPriority w:val="99"/>
    <w:qFormat/>
    <w:rsid w:val="00F56B6B"/>
    <w:rPr>
      <w:sz w:val="22"/>
      <w:szCs w:val="22"/>
      <w:lang w:val="es-CO" w:eastAsia="en-US"/>
    </w:rPr>
  </w:style>
  <w:style w:type="character" w:customStyle="1" w:styleId="Ttulo2Car">
    <w:name w:val="Título 2 Car"/>
    <w:basedOn w:val="Fuentedeprrafopredeter"/>
    <w:link w:val="Ttulo2"/>
    <w:uiPriority w:val="9"/>
    <w:rsid w:val="002F227E"/>
    <w:rPr>
      <w:rFonts w:ascii="Times New Roman" w:eastAsia="Times New Roman" w:hAnsi="Times New Roman"/>
      <w:b/>
      <w:bCs/>
      <w:sz w:val="36"/>
      <w:szCs w:val="36"/>
      <w:lang w:val="es-CO" w:eastAsia="es-CO"/>
    </w:rPr>
  </w:style>
  <w:style w:type="character" w:customStyle="1" w:styleId="Ttulo4Car">
    <w:name w:val="Título 4 Car"/>
    <w:basedOn w:val="Fuentedeprrafopredeter"/>
    <w:link w:val="Ttulo4"/>
    <w:uiPriority w:val="9"/>
    <w:semiHidden/>
    <w:rsid w:val="006F55A7"/>
    <w:rPr>
      <w:rFonts w:asciiTheme="majorHAnsi" w:eastAsiaTheme="majorEastAsia" w:hAnsiTheme="majorHAnsi" w:cstheme="majorBidi"/>
      <w:i/>
      <w:iCs/>
      <w:color w:val="B43412" w:themeColor="accent1" w:themeShade="BF"/>
      <w:sz w:val="22"/>
      <w:szCs w:val="22"/>
      <w:lang w:val="es-CO" w:eastAsia="en-US"/>
    </w:rPr>
  </w:style>
  <w:style w:type="character" w:styleId="Mencinsinresolver">
    <w:name w:val="Unresolved Mention"/>
    <w:basedOn w:val="Fuentedeprrafopredeter"/>
    <w:uiPriority w:val="99"/>
    <w:semiHidden/>
    <w:unhideWhenUsed/>
    <w:rsid w:val="0000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633">
      <w:bodyDiv w:val="1"/>
      <w:marLeft w:val="0"/>
      <w:marRight w:val="0"/>
      <w:marTop w:val="0"/>
      <w:marBottom w:val="0"/>
      <w:divBdr>
        <w:top w:val="none" w:sz="0" w:space="0" w:color="auto"/>
        <w:left w:val="none" w:sz="0" w:space="0" w:color="auto"/>
        <w:bottom w:val="none" w:sz="0" w:space="0" w:color="auto"/>
        <w:right w:val="none" w:sz="0" w:space="0" w:color="auto"/>
      </w:divBdr>
    </w:div>
    <w:div w:id="103115108">
      <w:bodyDiv w:val="1"/>
      <w:marLeft w:val="0"/>
      <w:marRight w:val="0"/>
      <w:marTop w:val="0"/>
      <w:marBottom w:val="0"/>
      <w:divBdr>
        <w:top w:val="none" w:sz="0" w:space="0" w:color="auto"/>
        <w:left w:val="none" w:sz="0" w:space="0" w:color="auto"/>
        <w:bottom w:val="none" w:sz="0" w:space="0" w:color="auto"/>
        <w:right w:val="none" w:sz="0" w:space="0" w:color="auto"/>
      </w:divBdr>
    </w:div>
    <w:div w:id="114570632">
      <w:bodyDiv w:val="1"/>
      <w:marLeft w:val="0"/>
      <w:marRight w:val="0"/>
      <w:marTop w:val="0"/>
      <w:marBottom w:val="0"/>
      <w:divBdr>
        <w:top w:val="none" w:sz="0" w:space="0" w:color="auto"/>
        <w:left w:val="none" w:sz="0" w:space="0" w:color="auto"/>
        <w:bottom w:val="none" w:sz="0" w:space="0" w:color="auto"/>
        <w:right w:val="none" w:sz="0" w:space="0" w:color="auto"/>
      </w:divBdr>
    </w:div>
    <w:div w:id="116066318">
      <w:bodyDiv w:val="1"/>
      <w:marLeft w:val="0"/>
      <w:marRight w:val="0"/>
      <w:marTop w:val="0"/>
      <w:marBottom w:val="0"/>
      <w:divBdr>
        <w:top w:val="none" w:sz="0" w:space="0" w:color="auto"/>
        <w:left w:val="none" w:sz="0" w:space="0" w:color="auto"/>
        <w:bottom w:val="none" w:sz="0" w:space="0" w:color="auto"/>
        <w:right w:val="none" w:sz="0" w:space="0" w:color="auto"/>
      </w:divBdr>
    </w:div>
    <w:div w:id="121963959">
      <w:bodyDiv w:val="1"/>
      <w:marLeft w:val="0"/>
      <w:marRight w:val="0"/>
      <w:marTop w:val="0"/>
      <w:marBottom w:val="0"/>
      <w:divBdr>
        <w:top w:val="none" w:sz="0" w:space="0" w:color="auto"/>
        <w:left w:val="none" w:sz="0" w:space="0" w:color="auto"/>
        <w:bottom w:val="none" w:sz="0" w:space="0" w:color="auto"/>
        <w:right w:val="none" w:sz="0" w:space="0" w:color="auto"/>
      </w:divBdr>
    </w:div>
    <w:div w:id="125314406">
      <w:bodyDiv w:val="1"/>
      <w:marLeft w:val="0"/>
      <w:marRight w:val="0"/>
      <w:marTop w:val="0"/>
      <w:marBottom w:val="0"/>
      <w:divBdr>
        <w:top w:val="none" w:sz="0" w:space="0" w:color="auto"/>
        <w:left w:val="none" w:sz="0" w:space="0" w:color="auto"/>
        <w:bottom w:val="none" w:sz="0" w:space="0" w:color="auto"/>
        <w:right w:val="none" w:sz="0" w:space="0" w:color="auto"/>
      </w:divBdr>
      <w:divsChild>
        <w:div w:id="643781683">
          <w:marLeft w:val="0"/>
          <w:marRight w:val="0"/>
          <w:marTop w:val="0"/>
          <w:marBottom w:val="0"/>
          <w:divBdr>
            <w:top w:val="none" w:sz="0" w:space="0" w:color="auto"/>
            <w:left w:val="none" w:sz="0" w:space="0" w:color="auto"/>
            <w:bottom w:val="none" w:sz="0" w:space="0" w:color="auto"/>
            <w:right w:val="none" w:sz="0" w:space="0" w:color="auto"/>
          </w:divBdr>
        </w:div>
        <w:div w:id="1477721783">
          <w:marLeft w:val="0"/>
          <w:marRight w:val="0"/>
          <w:marTop w:val="0"/>
          <w:marBottom w:val="0"/>
          <w:divBdr>
            <w:top w:val="none" w:sz="0" w:space="0" w:color="auto"/>
            <w:left w:val="none" w:sz="0" w:space="0" w:color="auto"/>
            <w:bottom w:val="none" w:sz="0" w:space="0" w:color="auto"/>
            <w:right w:val="none" w:sz="0" w:space="0" w:color="auto"/>
          </w:divBdr>
        </w:div>
      </w:divsChild>
    </w:div>
    <w:div w:id="138957315">
      <w:bodyDiv w:val="1"/>
      <w:marLeft w:val="0"/>
      <w:marRight w:val="0"/>
      <w:marTop w:val="0"/>
      <w:marBottom w:val="0"/>
      <w:divBdr>
        <w:top w:val="none" w:sz="0" w:space="0" w:color="auto"/>
        <w:left w:val="none" w:sz="0" w:space="0" w:color="auto"/>
        <w:bottom w:val="none" w:sz="0" w:space="0" w:color="auto"/>
        <w:right w:val="none" w:sz="0" w:space="0" w:color="auto"/>
      </w:divBdr>
    </w:div>
    <w:div w:id="220137507">
      <w:bodyDiv w:val="1"/>
      <w:marLeft w:val="0"/>
      <w:marRight w:val="0"/>
      <w:marTop w:val="0"/>
      <w:marBottom w:val="0"/>
      <w:divBdr>
        <w:top w:val="none" w:sz="0" w:space="0" w:color="auto"/>
        <w:left w:val="none" w:sz="0" w:space="0" w:color="auto"/>
        <w:bottom w:val="none" w:sz="0" w:space="0" w:color="auto"/>
        <w:right w:val="none" w:sz="0" w:space="0" w:color="auto"/>
      </w:divBdr>
    </w:div>
    <w:div w:id="249967461">
      <w:bodyDiv w:val="1"/>
      <w:marLeft w:val="0"/>
      <w:marRight w:val="0"/>
      <w:marTop w:val="0"/>
      <w:marBottom w:val="0"/>
      <w:divBdr>
        <w:top w:val="none" w:sz="0" w:space="0" w:color="auto"/>
        <w:left w:val="none" w:sz="0" w:space="0" w:color="auto"/>
        <w:bottom w:val="none" w:sz="0" w:space="0" w:color="auto"/>
        <w:right w:val="none" w:sz="0" w:space="0" w:color="auto"/>
      </w:divBdr>
    </w:div>
    <w:div w:id="253130251">
      <w:bodyDiv w:val="1"/>
      <w:marLeft w:val="0"/>
      <w:marRight w:val="0"/>
      <w:marTop w:val="0"/>
      <w:marBottom w:val="0"/>
      <w:divBdr>
        <w:top w:val="none" w:sz="0" w:space="0" w:color="auto"/>
        <w:left w:val="none" w:sz="0" w:space="0" w:color="auto"/>
        <w:bottom w:val="none" w:sz="0" w:space="0" w:color="auto"/>
        <w:right w:val="none" w:sz="0" w:space="0" w:color="auto"/>
      </w:divBdr>
    </w:div>
    <w:div w:id="328414103">
      <w:bodyDiv w:val="1"/>
      <w:marLeft w:val="0"/>
      <w:marRight w:val="0"/>
      <w:marTop w:val="0"/>
      <w:marBottom w:val="0"/>
      <w:divBdr>
        <w:top w:val="none" w:sz="0" w:space="0" w:color="auto"/>
        <w:left w:val="none" w:sz="0" w:space="0" w:color="auto"/>
        <w:bottom w:val="none" w:sz="0" w:space="0" w:color="auto"/>
        <w:right w:val="none" w:sz="0" w:space="0" w:color="auto"/>
      </w:divBdr>
    </w:div>
    <w:div w:id="410856626">
      <w:bodyDiv w:val="1"/>
      <w:marLeft w:val="0"/>
      <w:marRight w:val="0"/>
      <w:marTop w:val="0"/>
      <w:marBottom w:val="0"/>
      <w:divBdr>
        <w:top w:val="none" w:sz="0" w:space="0" w:color="auto"/>
        <w:left w:val="none" w:sz="0" w:space="0" w:color="auto"/>
        <w:bottom w:val="none" w:sz="0" w:space="0" w:color="auto"/>
        <w:right w:val="none" w:sz="0" w:space="0" w:color="auto"/>
      </w:divBdr>
    </w:div>
    <w:div w:id="420611823">
      <w:bodyDiv w:val="1"/>
      <w:marLeft w:val="0"/>
      <w:marRight w:val="0"/>
      <w:marTop w:val="0"/>
      <w:marBottom w:val="0"/>
      <w:divBdr>
        <w:top w:val="none" w:sz="0" w:space="0" w:color="auto"/>
        <w:left w:val="none" w:sz="0" w:space="0" w:color="auto"/>
        <w:bottom w:val="none" w:sz="0" w:space="0" w:color="auto"/>
        <w:right w:val="none" w:sz="0" w:space="0" w:color="auto"/>
      </w:divBdr>
    </w:div>
    <w:div w:id="476798993">
      <w:bodyDiv w:val="1"/>
      <w:marLeft w:val="0"/>
      <w:marRight w:val="0"/>
      <w:marTop w:val="0"/>
      <w:marBottom w:val="0"/>
      <w:divBdr>
        <w:top w:val="none" w:sz="0" w:space="0" w:color="auto"/>
        <w:left w:val="none" w:sz="0" w:space="0" w:color="auto"/>
        <w:bottom w:val="none" w:sz="0" w:space="0" w:color="auto"/>
        <w:right w:val="none" w:sz="0" w:space="0" w:color="auto"/>
      </w:divBdr>
    </w:div>
    <w:div w:id="524638967">
      <w:bodyDiv w:val="1"/>
      <w:marLeft w:val="0"/>
      <w:marRight w:val="0"/>
      <w:marTop w:val="0"/>
      <w:marBottom w:val="0"/>
      <w:divBdr>
        <w:top w:val="none" w:sz="0" w:space="0" w:color="auto"/>
        <w:left w:val="none" w:sz="0" w:space="0" w:color="auto"/>
        <w:bottom w:val="none" w:sz="0" w:space="0" w:color="auto"/>
        <w:right w:val="none" w:sz="0" w:space="0" w:color="auto"/>
      </w:divBdr>
    </w:div>
    <w:div w:id="540821961">
      <w:bodyDiv w:val="1"/>
      <w:marLeft w:val="0"/>
      <w:marRight w:val="0"/>
      <w:marTop w:val="0"/>
      <w:marBottom w:val="0"/>
      <w:divBdr>
        <w:top w:val="none" w:sz="0" w:space="0" w:color="auto"/>
        <w:left w:val="none" w:sz="0" w:space="0" w:color="auto"/>
        <w:bottom w:val="none" w:sz="0" w:space="0" w:color="auto"/>
        <w:right w:val="none" w:sz="0" w:space="0" w:color="auto"/>
      </w:divBdr>
    </w:div>
    <w:div w:id="600334194">
      <w:bodyDiv w:val="1"/>
      <w:marLeft w:val="0"/>
      <w:marRight w:val="0"/>
      <w:marTop w:val="0"/>
      <w:marBottom w:val="0"/>
      <w:divBdr>
        <w:top w:val="none" w:sz="0" w:space="0" w:color="auto"/>
        <w:left w:val="none" w:sz="0" w:space="0" w:color="auto"/>
        <w:bottom w:val="none" w:sz="0" w:space="0" w:color="auto"/>
        <w:right w:val="none" w:sz="0" w:space="0" w:color="auto"/>
      </w:divBdr>
    </w:div>
    <w:div w:id="606304981">
      <w:bodyDiv w:val="1"/>
      <w:marLeft w:val="0"/>
      <w:marRight w:val="0"/>
      <w:marTop w:val="0"/>
      <w:marBottom w:val="0"/>
      <w:divBdr>
        <w:top w:val="none" w:sz="0" w:space="0" w:color="auto"/>
        <w:left w:val="none" w:sz="0" w:space="0" w:color="auto"/>
        <w:bottom w:val="none" w:sz="0" w:space="0" w:color="auto"/>
        <w:right w:val="none" w:sz="0" w:space="0" w:color="auto"/>
      </w:divBdr>
    </w:div>
    <w:div w:id="610279366">
      <w:bodyDiv w:val="1"/>
      <w:marLeft w:val="0"/>
      <w:marRight w:val="0"/>
      <w:marTop w:val="0"/>
      <w:marBottom w:val="0"/>
      <w:divBdr>
        <w:top w:val="none" w:sz="0" w:space="0" w:color="auto"/>
        <w:left w:val="none" w:sz="0" w:space="0" w:color="auto"/>
        <w:bottom w:val="none" w:sz="0" w:space="0" w:color="auto"/>
        <w:right w:val="none" w:sz="0" w:space="0" w:color="auto"/>
      </w:divBdr>
    </w:div>
    <w:div w:id="641273816">
      <w:bodyDiv w:val="1"/>
      <w:marLeft w:val="0"/>
      <w:marRight w:val="0"/>
      <w:marTop w:val="0"/>
      <w:marBottom w:val="0"/>
      <w:divBdr>
        <w:top w:val="none" w:sz="0" w:space="0" w:color="auto"/>
        <w:left w:val="none" w:sz="0" w:space="0" w:color="auto"/>
        <w:bottom w:val="none" w:sz="0" w:space="0" w:color="auto"/>
        <w:right w:val="none" w:sz="0" w:space="0" w:color="auto"/>
      </w:divBdr>
    </w:div>
    <w:div w:id="643198968">
      <w:bodyDiv w:val="1"/>
      <w:marLeft w:val="0"/>
      <w:marRight w:val="0"/>
      <w:marTop w:val="0"/>
      <w:marBottom w:val="0"/>
      <w:divBdr>
        <w:top w:val="none" w:sz="0" w:space="0" w:color="auto"/>
        <w:left w:val="none" w:sz="0" w:space="0" w:color="auto"/>
        <w:bottom w:val="none" w:sz="0" w:space="0" w:color="auto"/>
        <w:right w:val="none" w:sz="0" w:space="0" w:color="auto"/>
      </w:divBdr>
    </w:div>
    <w:div w:id="769280906">
      <w:bodyDiv w:val="1"/>
      <w:marLeft w:val="0"/>
      <w:marRight w:val="0"/>
      <w:marTop w:val="0"/>
      <w:marBottom w:val="0"/>
      <w:divBdr>
        <w:top w:val="none" w:sz="0" w:space="0" w:color="auto"/>
        <w:left w:val="none" w:sz="0" w:space="0" w:color="auto"/>
        <w:bottom w:val="none" w:sz="0" w:space="0" w:color="auto"/>
        <w:right w:val="none" w:sz="0" w:space="0" w:color="auto"/>
      </w:divBdr>
    </w:div>
    <w:div w:id="812256938">
      <w:bodyDiv w:val="1"/>
      <w:marLeft w:val="0"/>
      <w:marRight w:val="0"/>
      <w:marTop w:val="0"/>
      <w:marBottom w:val="0"/>
      <w:divBdr>
        <w:top w:val="none" w:sz="0" w:space="0" w:color="auto"/>
        <w:left w:val="none" w:sz="0" w:space="0" w:color="auto"/>
        <w:bottom w:val="none" w:sz="0" w:space="0" w:color="auto"/>
        <w:right w:val="none" w:sz="0" w:space="0" w:color="auto"/>
      </w:divBdr>
    </w:div>
    <w:div w:id="843469385">
      <w:bodyDiv w:val="1"/>
      <w:marLeft w:val="0"/>
      <w:marRight w:val="0"/>
      <w:marTop w:val="0"/>
      <w:marBottom w:val="0"/>
      <w:divBdr>
        <w:top w:val="none" w:sz="0" w:space="0" w:color="auto"/>
        <w:left w:val="none" w:sz="0" w:space="0" w:color="auto"/>
        <w:bottom w:val="none" w:sz="0" w:space="0" w:color="auto"/>
        <w:right w:val="none" w:sz="0" w:space="0" w:color="auto"/>
      </w:divBdr>
    </w:div>
    <w:div w:id="860707904">
      <w:bodyDiv w:val="1"/>
      <w:marLeft w:val="0"/>
      <w:marRight w:val="0"/>
      <w:marTop w:val="0"/>
      <w:marBottom w:val="0"/>
      <w:divBdr>
        <w:top w:val="none" w:sz="0" w:space="0" w:color="auto"/>
        <w:left w:val="none" w:sz="0" w:space="0" w:color="auto"/>
        <w:bottom w:val="none" w:sz="0" w:space="0" w:color="auto"/>
        <w:right w:val="none" w:sz="0" w:space="0" w:color="auto"/>
      </w:divBdr>
    </w:div>
    <w:div w:id="927345947">
      <w:bodyDiv w:val="1"/>
      <w:marLeft w:val="0"/>
      <w:marRight w:val="0"/>
      <w:marTop w:val="0"/>
      <w:marBottom w:val="0"/>
      <w:divBdr>
        <w:top w:val="none" w:sz="0" w:space="0" w:color="auto"/>
        <w:left w:val="none" w:sz="0" w:space="0" w:color="auto"/>
        <w:bottom w:val="none" w:sz="0" w:space="0" w:color="auto"/>
        <w:right w:val="none" w:sz="0" w:space="0" w:color="auto"/>
      </w:divBdr>
    </w:div>
    <w:div w:id="955988052">
      <w:bodyDiv w:val="1"/>
      <w:marLeft w:val="0"/>
      <w:marRight w:val="0"/>
      <w:marTop w:val="0"/>
      <w:marBottom w:val="0"/>
      <w:divBdr>
        <w:top w:val="none" w:sz="0" w:space="0" w:color="auto"/>
        <w:left w:val="none" w:sz="0" w:space="0" w:color="auto"/>
        <w:bottom w:val="none" w:sz="0" w:space="0" w:color="auto"/>
        <w:right w:val="none" w:sz="0" w:space="0" w:color="auto"/>
      </w:divBdr>
    </w:div>
    <w:div w:id="974868369">
      <w:bodyDiv w:val="1"/>
      <w:marLeft w:val="0"/>
      <w:marRight w:val="0"/>
      <w:marTop w:val="0"/>
      <w:marBottom w:val="0"/>
      <w:divBdr>
        <w:top w:val="none" w:sz="0" w:space="0" w:color="auto"/>
        <w:left w:val="none" w:sz="0" w:space="0" w:color="auto"/>
        <w:bottom w:val="none" w:sz="0" w:space="0" w:color="auto"/>
        <w:right w:val="none" w:sz="0" w:space="0" w:color="auto"/>
      </w:divBdr>
    </w:div>
    <w:div w:id="994341048">
      <w:bodyDiv w:val="1"/>
      <w:marLeft w:val="0"/>
      <w:marRight w:val="0"/>
      <w:marTop w:val="0"/>
      <w:marBottom w:val="0"/>
      <w:divBdr>
        <w:top w:val="none" w:sz="0" w:space="0" w:color="auto"/>
        <w:left w:val="none" w:sz="0" w:space="0" w:color="auto"/>
        <w:bottom w:val="none" w:sz="0" w:space="0" w:color="auto"/>
        <w:right w:val="none" w:sz="0" w:space="0" w:color="auto"/>
      </w:divBdr>
    </w:div>
    <w:div w:id="1029524476">
      <w:bodyDiv w:val="1"/>
      <w:marLeft w:val="0"/>
      <w:marRight w:val="0"/>
      <w:marTop w:val="0"/>
      <w:marBottom w:val="0"/>
      <w:divBdr>
        <w:top w:val="none" w:sz="0" w:space="0" w:color="auto"/>
        <w:left w:val="none" w:sz="0" w:space="0" w:color="auto"/>
        <w:bottom w:val="none" w:sz="0" w:space="0" w:color="auto"/>
        <w:right w:val="none" w:sz="0" w:space="0" w:color="auto"/>
      </w:divBdr>
    </w:div>
    <w:div w:id="1032538141">
      <w:bodyDiv w:val="1"/>
      <w:marLeft w:val="0"/>
      <w:marRight w:val="0"/>
      <w:marTop w:val="0"/>
      <w:marBottom w:val="0"/>
      <w:divBdr>
        <w:top w:val="none" w:sz="0" w:space="0" w:color="auto"/>
        <w:left w:val="none" w:sz="0" w:space="0" w:color="auto"/>
        <w:bottom w:val="none" w:sz="0" w:space="0" w:color="auto"/>
        <w:right w:val="none" w:sz="0" w:space="0" w:color="auto"/>
      </w:divBdr>
    </w:div>
    <w:div w:id="1100834842">
      <w:bodyDiv w:val="1"/>
      <w:marLeft w:val="0"/>
      <w:marRight w:val="0"/>
      <w:marTop w:val="0"/>
      <w:marBottom w:val="0"/>
      <w:divBdr>
        <w:top w:val="none" w:sz="0" w:space="0" w:color="auto"/>
        <w:left w:val="none" w:sz="0" w:space="0" w:color="auto"/>
        <w:bottom w:val="none" w:sz="0" w:space="0" w:color="auto"/>
        <w:right w:val="none" w:sz="0" w:space="0" w:color="auto"/>
      </w:divBdr>
    </w:div>
    <w:div w:id="1128159469">
      <w:bodyDiv w:val="1"/>
      <w:marLeft w:val="0"/>
      <w:marRight w:val="0"/>
      <w:marTop w:val="0"/>
      <w:marBottom w:val="0"/>
      <w:divBdr>
        <w:top w:val="none" w:sz="0" w:space="0" w:color="auto"/>
        <w:left w:val="none" w:sz="0" w:space="0" w:color="auto"/>
        <w:bottom w:val="none" w:sz="0" w:space="0" w:color="auto"/>
        <w:right w:val="none" w:sz="0" w:space="0" w:color="auto"/>
      </w:divBdr>
    </w:div>
    <w:div w:id="1136948837">
      <w:bodyDiv w:val="1"/>
      <w:marLeft w:val="0"/>
      <w:marRight w:val="0"/>
      <w:marTop w:val="0"/>
      <w:marBottom w:val="0"/>
      <w:divBdr>
        <w:top w:val="none" w:sz="0" w:space="0" w:color="auto"/>
        <w:left w:val="none" w:sz="0" w:space="0" w:color="auto"/>
        <w:bottom w:val="none" w:sz="0" w:space="0" w:color="auto"/>
        <w:right w:val="none" w:sz="0" w:space="0" w:color="auto"/>
      </w:divBdr>
      <w:divsChild>
        <w:div w:id="108209000">
          <w:marLeft w:val="0"/>
          <w:marRight w:val="0"/>
          <w:marTop w:val="0"/>
          <w:marBottom w:val="0"/>
          <w:divBdr>
            <w:top w:val="none" w:sz="0" w:space="0" w:color="auto"/>
            <w:left w:val="none" w:sz="0" w:space="0" w:color="auto"/>
            <w:bottom w:val="none" w:sz="0" w:space="0" w:color="auto"/>
            <w:right w:val="none" w:sz="0" w:space="0" w:color="auto"/>
          </w:divBdr>
        </w:div>
        <w:div w:id="1714110447">
          <w:marLeft w:val="0"/>
          <w:marRight w:val="0"/>
          <w:marTop w:val="0"/>
          <w:marBottom w:val="0"/>
          <w:divBdr>
            <w:top w:val="none" w:sz="0" w:space="0" w:color="auto"/>
            <w:left w:val="none" w:sz="0" w:space="0" w:color="auto"/>
            <w:bottom w:val="none" w:sz="0" w:space="0" w:color="auto"/>
            <w:right w:val="none" w:sz="0" w:space="0" w:color="auto"/>
          </w:divBdr>
        </w:div>
      </w:divsChild>
    </w:div>
    <w:div w:id="1171027206">
      <w:bodyDiv w:val="1"/>
      <w:marLeft w:val="0"/>
      <w:marRight w:val="0"/>
      <w:marTop w:val="0"/>
      <w:marBottom w:val="0"/>
      <w:divBdr>
        <w:top w:val="none" w:sz="0" w:space="0" w:color="auto"/>
        <w:left w:val="none" w:sz="0" w:space="0" w:color="auto"/>
        <w:bottom w:val="none" w:sz="0" w:space="0" w:color="auto"/>
        <w:right w:val="none" w:sz="0" w:space="0" w:color="auto"/>
      </w:divBdr>
    </w:div>
    <w:div w:id="1216812685">
      <w:bodyDiv w:val="1"/>
      <w:marLeft w:val="0"/>
      <w:marRight w:val="0"/>
      <w:marTop w:val="0"/>
      <w:marBottom w:val="0"/>
      <w:divBdr>
        <w:top w:val="none" w:sz="0" w:space="0" w:color="auto"/>
        <w:left w:val="none" w:sz="0" w:space="0" w:color="auto"/>
        <w:bottom w:val="none" w:sz="0" w:space="0" w:color="auto"/>
        <w:right w:val="none" w:sz="0" w:space="0" w:color="auto"/>
      </w:divBdr>
    </w:div>
    <w:div w:id="1268806367">
      <w:bodyDiv w:val="1"/>
      <w:marLeft w:val="0"/>
      <w:marRight w:val="0"/>
      <w:marTop w:val="0"/>
      <w:marBottom w:val="0"/>
      <w:divBdr>
        <w:top w:val="none" w:sz="0" w:space="0" w:color="auto"/>
        <w:left w:val="none" w:sz="0" w:space="0" w:color="auto"/>
        <w:bottom w:val="none" w:sz="0" w:space="0" w:color="auto"/>
        <w:right w:val="none" w:sz="0" w:space="0" w:color="auto"/>
      </w:divBdr>
    </w:div>
    <w:div w:id="1275863295">
      <w:bodyDiv w:val="1"/>
      <w:marLeft w:val="0"/>
      <w:marRight w:val="0"/>
      <w:marTop w:val="0"/>
      <w:marBottom w:val="0"/>
      <w:divBdr>
        <w:top w:val="none" w:sz="0" w:space="0" w:color="auto"/>
        <w:left w:val="none" w:sz="0" w:space="0" w:color="auto"/>
        <w:bottom w:val="none" w:sz="0" w:space="0" w:color="auto"/>
        <w:right w:val="none" w:sz="0" w:space="0" w:color="auto"/>
      </w:divBdr>
    </w:div>
    <w:div w:id="1290938685">
      <w:bodyDiv w:val="1"/>
      <w:marLeft w:val="0"/>
      <w:marRight w:val="0"/>
      <w:marTop w:val="0"/>
      <w:marBottom w:val="0"/>
      <w:divBdr>
        <w:top w:val="none" w:sz="0" w:space="0" w:color="auto"/>
        <w:left w:val="none" w:sz="0" w:space="0" w:color="auto"/>
        <w:bottom w:val="none" w:sz="0" w:space="0" w:color="auto"/>
        <w:right w:val="none" w:sz="0" w:space="0" w:color="auto"/>
      </w:divBdr>
    </w:div>
    <w:div w:id="1319269643">
      <w:bodyDiv w:val="1"/>
      <w:marLeft w:val="0"/>
      <w:marRight w:val="0"/>
      <w:marTop w:val="0"/>
      <w:marBottom w:val="0"/>
      <w:divBdr>
        <w:top w:val="none" w:sz="0" w:space="0" w:color="auto"/>
        <w:left w:val="none" w:sz="0" w:space="0" w:color="auto"/>
        <w:bottom w:val="none" w:sz="0" w:space="0" w:color="auto"/>
        <w:right w:val="none" w:sz="0" w:space="0" w:color="auto"/>
      </w:divBdr>
    </w:div>
    <w:div w:id="1341661367">
      <w:bodyDiv w:val="1"/>
      <w:marLeft w:val="0"/>
      <w:marRight w:val="0"/>
      <w:marTop w:val="0"/>
      <w:marBottom w:val="0"/>
      <w:divBdr>
        <w:top w:val="none" w:sz="0" w:space="0" w:color="auto"/>
        <w:left w:val="none" w:sz="0" w:space="0" w:color="auto"/>
        <w:bottom w:val="none" w:sz="0" w:space="0" w:color="auto"/>
        <w:right w:val="none" w:sz="0" w:space="0" w:color="auto"/>
      </w:divBdr>
    </w:div>
    <w:div w:id="1344477432">
      <w:bodyDiv w:val="1"/>
      <w:marLeft w:val="0"/>
      <w:marRight w:val="0"/>
      <w:marTop w:val="0"/>
      <w:marBottom w:val="0"/>
      <w:divBdr>
        <w:top w:val="none" w:sz="0" w:space="0" w:color="auto"/>
        <w:left w:val="none" w:sz="0" w:space="0" w:color="auto"/>
        <w:bottom w:val="none" w:sz="0" w:space="0" w:color="auto"/>
        <w:right w:val="none" w:sz="0" w:space="0" w:color="auto"/>
      </w:divBdr>
    </w:div>
    <w:div w:id="1360011419">
      <w:bodyDiv w:val="1"/>
      <w:marLeft w:val="0"/>
      <w:marRight w:val="0"/>
      <w:marTop w:val="0"/>
      <w:marBottom w:val="0"/>
      <w:divBdr>
        <w:top w:val="none" w:sz="0" w:space="0" w:color="auto"/>
        <w:left w:val="none" w:sz="0" w:space="0" w:color="auto"/>
        <w:bottom w:val="none" w:sz="0" w:space="0" w:color="auto"/>
        <w:right w:val="none" w:sz="0" w:space="0" w:color="auto"/>
      </w:divBdr>
    </w:div>
    <w:div w:id="1395592102">
      <w:bodyDiv w:val="1"/>
      <w:marLeft w:val="0"/>
      <w:marRight w:val="0"/>
      <w:marTop w:val="0"/>
      <w:marBottom w:val="0"/>
      <w:divBdr>
        <w:top w:val="none" w:sz="0" w:space="0" w:color="auto"/>
        <w:left w:val="none" w:sz="0" w:space="0" w:color="auto"/>
        <w:bottom w:val="none" w:sz="0" w:space="0" w:color="auto"/>
        <w:right w:val="none" w:sz="0" w:space="0" w:color="auto"/>
      </w:divBdr>
    </w:div>
    <w:div w:id="1405835841">
      <w:bodyDiv w:val="1"/>
      <w:marLeft w:val="0"/>
      <w:marRight w:val="0"/>
      <w:marTop w:val="0"/>
      <w:marBottom w:val="0"/>
      <w:divBdr>
        <w:top w:val="none" w:sz="0" w:space="0" w:color="auto"/>
        <w:left w:val="none" w:sz="0" w:space="0" w:color="auto"/>
        <w:bottom w:val="none" w:sz="0" w:space="0" w:color="auto"/>
        <w:right w:val="none" w:sz="0" w:space="0" w:color="auto"/>
      </w:divBdr>
    </w:div>
    <w:div w:id="1492912300">
      <w:bodyDiv w:val="1"/>
      <w:marLeft w:val="0"/>
      <w:marRight w:val="0"/>
      <w:marTop w:val="0"/>
      <w:marBottom w:val="0"/>
      <w:divBdr>
        <w:top w:val="none" w:sz="0" w:space="0" w:color="auto"/>
        <w:left w:val="none" w:sz="0" w:space="0" w:color="auto"/>
        <w:bottom w:val="none" w:sz="0" w:space="0" w:color="auto"/>
        <w:right w:val="none" w:sz="0" w:space="0" w:color="auto"/>
      </w:divBdr>
    </w:div>
    <w:div w:id="1494371932">
      <w:bodyDiv w:val="1"/>
      <w:marLeft w:val="0"/>
      <w:marRight w:val="0"/>
      <w:marTop w:val="0"/>
      <w:marBottom w:val="0"/>
      <w:divBdr>
        <w:top w:val="none" w:sz="0" w:space="0" w:color="auto"/>
        <w:left w:val="none" w:sz="0" w:space="0" w:color="auto"/>
        <w:bottom w:val="none" w:sz="0" w:space="0" w:color="auto"/>
        <w:right w:val="none" w:sz="0" w:space="0" w:color="auto"/>
      </w:divBdr>
    </w:div>
    <w:div w:id="1510172031">
      <w:bodyDiv w:val="1"/>
      <w:marLeft w:val="0"/>
      <w:marRight w:val="0"/>
      <w:marTop w:val="0"/>
      <w:marBottom w:val="0"/>
      <w:divBdr>
        <w:top w:val="none" w:sz="0" w:space="0" w:color="auto"/>
        <w:left w:val="none" w:sz="0" w:space="0" w:color="auto"/>
        <w:bottom w:val="none" w:sz="0" w:space="0" w:color="auto"/>
        <w:right w:val="none" w:sz="0" w:space="0" w:color="auto"/>
      </w:divBdr>
    </w:div>
    <w:div w:id="1522667659">
      <w:bodyDiv w:val="1"/>
      <w:marLeft w:val="0"/>
      <w:marRight w:val="0"/>
      <w:marTop w:val="0"/>
      <w:marBottom w:val="0"/>
      <w:divBdr>
        <w:top w:val="none" w:sz="0" w:space="0" w:color="auto"/>
        <w:left w:val="none" w:sz="0" w:space="0" w:color="auto"/>
        <w:bottom w:val="none" w:sz="0" w:space="0" w:color="auto"/>
        <w:right w:val="none" w:sz="0" w:space="0" w:color="auto"/>
      </w:divBdr>
    </w:div>
    <w:div w:id="1574660280">
      <w:bodyDiv w:val="1"/>
      <w:marLeft w:val="0"/>
      <w:marRight w:val="0"/>
      <w:marTop w:val="0"/>
      <w:marBottom w:val="0"/>
      <w:divBdr>
        <w:top w:val="none" w:sz="0" w:space="0" w:color="auto"/>
        <w:left w:val="none" w:sz="0" w:space="0" w:color="auto"/>
        <w:bottom w:val="none" w:sz="0" w:space="0" w:color="auto"/>
        <w:right w:val="none" w:sz="0" w:space="0" w:color="auto"/>
      </w:divBdr>
    </w:div>
    <w:div w:id="1656184120">
      <w:bodyDiv w:val="1"/>
      <w:marLeft w:val="0"/>
      <w:marRight w:val="0"/>
      <w:marTop w:val="0"/>
      <w:marBottom w:val="0"/>
      <w:divBdr>
        <w:top w:val="none" w:sz="0" w:space="0" w:color="auto"/>
        <w:left w:val="none" w:sz="0" w:space="0" w:color="auto"/>
        <w:bottom w:val="none" w:sz="0" w:space="0" w:color="auto"/>
        <w:right w:val="none" w:sz="0" w:space="0" w:color="auto"/>
      </w:divBdr>
    </w:div>
    <w:div w:id="1709602043">
      <w:bodyDiv w:val="1"/>
      <w:marLeft w:val="0"/>
      <w:marRight w:val="0"/>
      <w:marTop w:val="0"/>
      <w:marBottom w:val="0"/>
      <w:divBdr>
        <w:top w:val="none" w:sz="0" w:space="0" w:color="auto"/>
        <w:left w:val="none" w:sz="0" w:space="0" w:color="auto"/>
        <w:bottom w:val="none" w:sz="0" w:space="0" w:color="auto"/>
        <w:right w:val="none" w:sz="0" w:space="0" w:color="auto"/>
      </w:divBdr>
    </w:div>
    <w:div w:id="1738701645">
      <w:bodyDiv w:val="1"/>
      <w:marLeft w:val="0"/>
      <w:marRight w:val="0"/>
      <w:marTop w:val="0"/>
      <w:marBottom w:val="0"/>
      <w:divBdr>
        <w:top w:val="none" w:sz="0" w:space="0" w:color="auto"/>
        <w:left w:val="none" w:sz="0" w:space="0" w:color="auto"/>
        <w:bottom w:val="none" w:sz="0" w:space="0" w:color="auto"/>
        <w:right w:val="none" w:sz="0" w:space="0" w:color="auto"/>
      </w:divBdr>
    </w:div>
    <w:div w:id="1747802292">
      <w:bodyDiv w:val="1"/>
      <w:marLeft w:val="0"/>
      <w:marRight w:val="0"/>
      <w:marTop w:val="0"/>
      <w:marBottom w:val="0"/>
      <w:divBdr>
        <w:top w:val="none" w:sz="0" w:space="0" w:color="auto"/>
        <w:left w:val="none" w:sz="0" w:space="0" w:color="auto"/>
        <w:bottom w:val="none" w:sz="0" w:space="0" w:color="auto"/>
        <w:right w:val="none" w:sz="0" w:space="0" w:color="auto"/>
      </w:divBdr>
    </w:div>
    <w:div w:id="1772358663">
      <w:bodyDiv w:val="1"/>
      <w:marLeft w:val="0"/>
      <w:marRight w:val="0"/>
      <w:marTop w:val="0"/>
      <w:marBottom w:val="0"/>
      <w:divBdr>
        <w:top w:val="none" w:sz="0" w:space="0" w:color="auto"/>
        <w:left w:val="none" w:sz="0" w:space="0" w:color="auto"/>
        <w:bottom w:val="none" w:sz="0" w:space="0" w:color="auto"/>
        <w:right w:val="none" w:sz="0" w:space="0" w:color="auto"/>
      </w:divBdr>
    </w:div>
    <w:div w:id="1813517219">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31770812">
      <w:bodyDiv w:val="1"/>
      <w:marLeft w:val="0"/>
      <w:marRight w:val="0"/>
      <w:marTop w:val="0"/>
      <w:marBottom w:val="0"/>
      <w:divBdr>
        <w:top w:val="none" w:sz="0" w:space="0" w:color="auto"/>
        <w:left w:val="none" w:sz="0" w:space="0" w:color="auto"/>
        <w:bottom w:val="none" w:sz="0" w:space="0" w:color="auto"/>
        <w:right w:val="none" w:sz="0" w:space="0" w:color="auto"/>
      </w:divBdr>
      <w:divsChild>
        <w:div w:id="65226028">
          <w:marLeft w:val="0"/>
          <w:marRight w:val="0"/>
          <w:marTop w:val="0"/>
          <w:marBottom w:val="0"/>
          <w:divBdr>
            <w:top w:val="none" w:sz="0" w:space="0" w:color="auto"/>
            <w:left w:val="none" w:sz="0" w:space="0" w:color="auto"/>
            <w:bottom w:val="none" w:sz="0" w:space="0" w:color="auto"/>
            <w:right w:val="none" w:sz="0" w:space="0" w:color="auto"/>
          </w:divBdr>
        </w:div>
        <w:div w:id="97334054">
          <w:marLeft w:val="0"/>
          <w:marRight w:val="0"/>
          <w:marTop w:val="0"/>
          <w:marBottom w:val="0"/>
          <w:divBdr>
            <w:top w:val="none" w:sz="0" w:space="0" w:color="auto"/>
            <w:left w:val="none" w:sz="0" w:space="0" w:color="auto"/>
            <w:bottom w:val="none" w:sz="0" w:space="0" w:color="auto"/>
            <w:right w:val="none" w:sz="0" w:space="0" w:color="auto"/>
          </w:divBdr>
        </w:div>
        <w:div w:id="280383177">
          <w:marLeft w:val="0"/>
          <w:marRight w:val="0"/>
          <w:marTop w:val="0"/>
          <w:marBottom w:val="0"/>
          <w:divBdr>
            <w:top w:val="none" w:sz="0" w:space="0" w:color="auto"/>
            <w:left w:val="none" w:sz="0" w:space="0" w:color="auto"/>
            <w:bottom w:val="none" w:sz="0" w:space="0" w:color="auto"/>
            <w:right w:val="none" w:sz="0" w:space="0" w:color="auto"/>
          </w:divBdr>
        </w:div>
        <w:div w:id="300813246">
          <w:marLeft w:val="0"/>
          <w:marRight w:val="0"/>
          <w:marTop w:val="0"/>
          <w:marBottom w:val="0"/>
          <w:divBdr>
            <w:top w:val="none" w:sz="0" w:space="0" w:color="auto"/>
            <w:left w:val="none" w:sz="0" w:space="0" w:color="auto"/>
            <w:bottom w:val="none" w:sz="0" w:space="0" w:color="auto"/>
            <w:right w:val="none" w:sz="0" w:space="0" w:color="auto"/>
          </w:divBdr>
        </w:div>
        <w:div w:id="394547520">
          <w:marLeft w:val="0"/>
          <w:marRight w:val="0"/>
          <w:marTop w:val="0"/>
          <w:marBottom w:val="0"/>
          <w:divBdr>
            <w:top w:val="none" w:sz="0" w:space="0" w:color="auto"/>
            <w:left w:val="none" w:sz="0" w:space="0" w:color="auto"/>
            <w:bottom w:val="none" w:sz="0" w:space="0" w:color="auto"/>
            <w:right w:val="none" w:sz="0" w:space="0" w:color="auto"/>
          </w:divBdr>
        </w:div>
        <w:div w:id="440491884">
          <w:marLeft w:val="0"/>
          <w:marRight w:val="0"/>
          <w:marTop w:val="0"/>
          <w:marBottom w:val="0"/>
          <w:divBdr>
            <w:top w:val="none" w:sz="0" w:space="0" w:color="auto"/>
            <w:left w:val="none" w:sz="0" w:space="0" w:color="auto"/>
            <w:bottom w:val="none" w:sz="0" w:space="0" w:color="auto"/>
            <w:right w:val="none" w:sz="0" w:space="0" w:color="auto"/>
          </w:divBdr>
        </w:div>
        <w:div w:id="465665164">
          <w:marLeft w:val="0"/>
          <w:marRight w:val="0"/>
          <w:marTop w:val="0"/>
          <w:marBottom w:val="0"/>
          <w:divBdr>
            <w:top w:val="none" w:sz="0" w:space="0" w:color="auto"/>
            <w:left w:val="none" w:sz="0" w:space="0" w:color="auto"/>
            <w:bottom w:val="none" w:sz="0" w:space="0" w:color="auto"/>
            <w:right w:val="none" w:sz="0" w:space="0" w:color="auto"/>
          </w:divBdr>
        </w:div>
        <w:div w:id="915474155">
          <w:marLeft w:val="0"/>
          <w:marRight w:val="0"/>
          <w:marTop w:val="0"/>
          <w:marBottom w:val="0"/>
          <w:divBdr>
            <w:top w:val="none" w:sz="0" w:space="0" w:color="auto"/>
            <w:left w:val="none" w:sz="0" w:space="0" w:color="auto"/>
            <w:bottom w:val="none" w:sz="0" w:space="0" w:color="auto"/>
            <w:right w:val="none" w:sz="0" w:space="0" w:color="auto"/>
          </w:divBdr>
        </w:div>
        <w:div w:id="917860118">
          <w:marLeft w:val="0"/>
          <w:marRight w:val="0"/>
          <w:marTop w:val="0"/>
          <w:marBottom w:val="0"/>
          <w:divBdr>
            <w:top w:val="none" w:sz="0" w:space="0" w:color="auto"/>
            <w:left w:val="none" w:sz="0" w:space="0" w:color="auto"/>
            <w:bottom w:val="none" w:sz="0" w:space="0" w:color="auto"/>
            <w:right w:val="none" w:sz="0" w:space="0" w:color="auto"/>
          </w:divBdr>
        </w:div>
        <w:div w:id="1019743307">
          <w:marLeft w:val="0"/>
          <w:marRight w:val="0"/>
          <w:marTop w:val="0"/>
          <w:marBottom w:val="0"/>
          <w:divBdr>
            <w:top w:val="none" w:sz="0" w:space="0" w:color="auto"/>
            <w:left w:val="none" w:sz="0" w:space="0" w:color="auto"/>
            <w:bottom w:val="none" w:sz="0" w:space="0" w:color="auto"/>
            <w:right w:val="none" w:sz="0" w:space="0" w:color="auto"/>
          </w:divBdr>
        </w:div>
        <w:div w:id="1085810077">
          <w:marLeft w:val="0"/>
          <w:marRight w:val="0"/>
          <w:marTop w:val="0"/>
          <w:marBottom w:val="0"/>
          <w:divBdr>
            <w:top w:val="none" w:sz="0" w:space="0" w:color="auto"/>
            <w:left w:val="none" w:sz="0" w:space="0" w:color="auto"/>
            <w:bottom w:val="none" w:sz="0" w:space="0" w:color="auto"/>
            <w:right w:val="none" w:sz="0" w:space="0" w:color="auto"/>
          </w:divBdr>
        </w:div>
        <w:div w:id="1498693532">
          <w:marLeft w:val="0"/>
          <w:marRight w:val="0"/>
          <w:marTop w:val="0"/>
          <w:marBottom w:val="0"/>
          <w:divBdr>
            <w:top w:val="none" w:sz="0" w:space="0" w:color="auto"/>
            <w:left w:val="none" w:sz="0" w:space="0" w:color="auto"/>
            <w:bottom w:val="none" w:sz="0" w:space="0" w:color="auto"/>
            <w:right w:val="none" w:sz="0" w:space="0" w:color="auto"/>
          </w:divBdr>
        </w:div>
        <w:div w:id="1556745156">
          <w:marLeft w:val="0"/>
          <w:marRight w:val="0"/>
          <w:marTop w:val="0"/>
          <w:marBottom w:val="0"/>
          <w:divBdr>
            <w:top w:val="none" w:sz="0" w:space="0" w:color="auto"/>
            <w:left w:val="none" w:sz="0" w:space="0" w:color="auto"/>
            <w:bottom w:val="none" w:sz="0" w:space="0" w:color="auto"/>
            <w:right w:val="none" w:sz="0" w:space="0" w:color="auto"/>
          </w:divBdr>
        </w:div>
        <w:div w:id="1655834091">
          <w:marLeft w:val="0"/>
          <w:marRight w:val="0"/>
          <w:marTop w:val="0"/>
          <w:marBottom w:val="0"/>
          <w:divBdr>
            <w:top w:val="none" w:sz="0" w:space="0" w:color="auto"/>
            <w:left w:val="none" w:sz="0" w:space="0" w:color="auto"/>
            <w:bottom w:val="none" w:sz="0" w:space="0" w:color="auto"/>
            <w:right w:val="none" w:sz="0" w:space="0" w:color="auto"/>
          </w:divBdr>
        </w:div>
        <w:div w:id="1737896106">
          <w:marLeft w:val="0"/>
          <w:marRight w:val="0"/>
          <w:marTop w:val="0"/>
          <w:marBottom w:val="0"/>
          <w:divBdr>
            <w:top w:val="none" w:sz="0" w:space="0" w:color="auto"/>
            <w:left w:val="none" w:sz="0" w:space="0" w:color="auto"/>
            <w:bottom w:val="none" w:sz="0" w:space="0" w:color="auto"/>
            <w:right w:val="none" w:sz="0" w:space="0" w:color="auto"/>
          </w:divBdr>
        </w:div>
        <w:div w:id="1763867577">
          <w:marLeft w:val="0"/>
          <w:marRight w:val="0"/>
          <w:marTop w:val="0"/>
          <w:marBottom w:val="0"/>
          <w:divBdr>
            <w:top w:val="none" w:sz="0" w:space="0" w:color="auto"/>
            <w:left w:val="none" w:sz="0" w:space="0" w:color="auto"/>
            <w:bottom w:val="none" w:sz="0" w:space="0" w:color="auto"/>
            <w:right w:val="none" w:sz="0" w:space="0" w:color="auto"/>
          </w:divBdr>
        </w:div>
      </w:divsChild>
    </w:div>
    <w:div w:id="1947690255">
      <w:bodyDiv w:val="1"/>
      <w:marLeft w:val="0"/>
      <w:marRight w:val="0"/>
      <w:marTop w:val="0"/>
      <w:marBottom w:val="0"/>
      <w:divBdr>
        <w:top w:val="none" w:sz="0" w:space="0" w:color="auto"/>
        <w:left w:val="none" w:sz="0" w:space="0" w:color="auto"/>
        <w:bottom w:val="none" w:sz="0" w:space="0" w:color="auto"/>
        <w:right w:val="none" w:sz="0" w:space="0" w:color="auto"/>
      </w:divBdr>
    </w:div>
    <w:div w:id="2022051708">
      <w:bodyDiv w:val="1"/>
      <w:marLeft w:val="0"/>
      <w:marRight w:val="0"/>
      <w:marTop w:val="0"/>
      <w:marBottom w:val="0"/>
      <w:divBdr>
        <w:top w:val="none" w:sz="0" w:space="0" w:color="auto"/>
        <w:left w:val="none" w:sz="0" w:space="0" w:color="auto"/>
        <w:bottom w:val="none" w:sz="0" w:space="0" w:color="auto"/>
        <w:right w:val="none" w:sz="0" w:space="0" w:color="auto"/>
      </w:divBdr>
    </w:div>
    <w:div w:id="2026206744">
      <w:bodyDiv w:val="1"/>
      <w:marLeft w:val="0"/>
      <w:marRight w:val="0"/>
      <w:marTop w:val="0"/>
      <w:marBottom w:val="0"/>
      <w:divBdr>
        <w:top w:val="none" w:sz="0" w:space="0" w:color="auto"/>
        <w:left w:val="none" w:sz="0" w:space="0" w:color="auto"/>
        <w:bottom w:val="none" w:sz="0" w:space="0" w:color="auto"/>
        <w:right w:val="none" w:sz="0" w:space="0" w:color="auto"/>
      </w:divBdr>
    </w:div>
    <w:div w:id="2032760127">
      <w:bodyDiv w:val="1"/>
      <w:marLeft w:val="0"/>
      <w:marRight w:val="0"/>
      <w:marTop w:val="0"/>
      <w:marBottom w:val="0"/>
      <w:divBdr>
        <w:top w:val="none" w:sz="0" w:space="0" w:color="auto"/>
        <w:left w:val="none" w:sz="0" w:space="0" w:color="auto"/>
        <w:bottom w:val="none" w:sz="0" w:space="0" w:color="auto"/>
        <w:right w:val="none" w:sz="0" w:space="0" w:color="auto"/>
      </w:divBdr>
    </w:div>
    <w:div w:id="2042855226">
      <w:bodyDiv w:val="1"/>
      <w:marLeft w:val="0"/>
      <w:marRight w:val="0"/>
      <w:marTop w:val="0"/>
      <w:marBottom w:val="0"/>
      <w:divBdr>
        <w:top w:val="none" w:sz="0" w:space="0" w:color="auto"/>
        <w:left w:val="none" w:sz="0" w:space="0" w:color="auto"/>
        <w:bottom w:val="none" w:sz="0" w:space="0" w:color="auto"/>
        <w:right w:val="none" w:sz="0" w:space="0" w:color="auto"/>
      </w:divBdr>
    </w:div>
    <w:div w:id="2043287563">
      <w:bodyDiv w:val="1"/>
      <w:marLeft w:val="0"/>
      <w:marRight w:val="0"/>
      <w:marTop w:val="0"/>
      <w:marBottom w:val="0"/>
      <w:divBdr>
        <w:top w:val="none" w:sz="0" w:space="0" w:color="auto"/>
        <w:left w:val="none" w:sz="0" w:space="0" w:color="auto"/>
        <w:bottom w:val="none" w:sz="0" w:space="0" w:color="auto"/>
        <w:right w:val="none" w:sz="0" w:space="0" w:color="auto"/>
      </w:divBdr>
    </w:div>
    <w:div w:id="2088920363">
      <w:bodyDiv w:val="1"/>
      <w:marLeft w:val="0"/>
      <w:marRight w:val="0"/>
      <w:marTop w:val="0"/>
      <w:marBottom w:val="0"/>
      <w:divBdr>
        <w:top w:val="none" w:sz="0" w:space="0" w:color="auto"/>
        <w:left w:val="none" w:sz="0" w:space="0" w:color="auto"/>
        <w:bottom w:val="none" w:sz="0" w:space="0" w:color="auto"/>
        <w:right w:val="none" w:sz="0" w:space="0" w:color="auto"/>
      </w:divBdr>
    </w:div>
    <w:div w:id="2098748794">
      <w:bodyDiv w:val="1"/>
      <w:marLeft w:val="0"/>
      <w:marRight w:val="0"/>
      <w:marTop w:val="0"/>
      <w:marBottom w:val="0"/>
      <w:divBdr>
        <w:top w:val="none" w:sz="0" w:space="0" w:color="auto"/>
        <w:left w:val="none" w:sz="0" w:space="0" w:color="auto"/>
        <w:bottom w:val="none" w:sz="0" w:space="0" w:color="auto"/>
        <w:right w:val="none" w:sz="0" w:space="0" w:color="auto"/>
      </w:divBdr>
    </w:div>
    <w:div w:id="212823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chart" Target="charts/chart4.xml"/><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hart" Target="charts/chart3.xml"/><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hyperlink" Target="http://www.scielo.org.co/scielo.php?script=sci_arttext&amp;pid=S0124-05791999000200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OneDrive\Contrato%201138%20de%202020\FURAG\Resultados%20FURAG%202019\Gr&#225;fic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ocuments\Contrato%201138%20de%202020\FURAG\Resultados%20FURAG%202019\Gr&#225;fic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OneDrive\Contrato%201138%20de%202020\FURAG\Resultados%20FURAG%202019\Gr&#225;fic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OneDrive\Contrato%201138%20de%202020\FURAG\Resultados%20FURAG%202019\Gr&#225;fic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OneDrive\Contrato%201138%20de%202020\FURAG\Resultados%20FURAG%202019\Gr&#225;fica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OneDrive\Contrato%201138%20de%202020\FURAG\Resultados%20FURAG%202019\Gr&#225;fica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Dimensiones!$A$11:$A$17</c:f>
              <c:strCache>
                <c:ptCount val="7"/>
                <c:pt idx="0">
                  <c:v>Gestión del conocimiento</c:v>
                </c:pt>
                <c:pt idx="1">
                  <c:v>Control interno</c:v>
                </c:pt>
                <c:pt idx="2">
                  <c:v>Gestión con valores</c:v>
                </c:pt>
                <c:pt idx="3">
                  <c:v>Información y comunicación</c:v>
                </c:pt>
                <c:pt idx="4">
                  <c:v>Talento humano</c:v>
                </c:pt>
                <c:pt idx="5">
                  <c:v>Direccionamiento estratégico</c:v>
                </c:pt>
                <c:pt idx="6">
                  <c:v>Evaluación de resultados</c:v>
                </c:pt>
              </c:strCache>
            </c:strRef>
          </c:cat>
          <c:val>
            <c:numRef>
              <c:f>Dimensiones!$B$11:$B$17</c:f>
              <c:numCache>
                <c:formatCode>General</c:formatCode>
                <c:ptCount val="7"/>
                <c:pt idx="0">
                  <c:v>99.6</c:v>
                </c:pt>
                <c:pt idx="1">
                  <c:v>93.5</c:v>
                </c:pt>
                <c:pt idx="2">
                  <c:v>92</c:v>
                </c:pt>
                <c:pt idx="3">
                  <c:v>89</c:v>
                </c:pt>
                <c:pt idx="4">
                  <c:v>88.9</c:v>
                </c:pt>
                <c:pt idx="5">
                  <c:v>87.1</c:v>
                </c:pt>
                <c:pt idx="6">
                  <c:v>80.3</c:v>
                </c:pt>
              </c:numCache>
            </c:numRef>
          </c:val>
          <c:extLst>
            <c:ext xmlns:c16="http://schemas.microsoft.com/office/drawing/2014/chart" uri="{C3380CC4-5D6E-409C-BE32-E72D297353CC}">
              <c16:uniqueId val="{00000000-75DA-4357-B52A-A3CAED0F766C}"/>
            </c:ext>
          </c:extLst>
        </c:ser>
        <c:dLbls>
          <c:showLegendKey val="0"/>
          <c:showVal val="0"/>
          <c:showCatName val="0"/>
          <c:showSerName val="0"/>
          <c:showPercent val="0"/>
          <c:showBubbleSize val="0"/>
        </c:dLbls>
        <c:gapWidth val="219"/>
        <c:overlap val="-27"/>
        <c:axId val="229929512"/>
        <c:axId val="229929840"/>
      </c:barChart>
      <c:catAx>
        <c:axId val="22992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s-CO"/>
          </a:p>
        </c:txPr>
        <c:crossAx val="229929840"/>
        <c:crosses val="autoZero"/>
        <c:auto val="1"/>
        <c:lblAlgn val="ctr"/>
        <c:lblOffset val="100"/>
        <c:noMultiLvlLbl val="0"/>
      </c:catAx>
      <c:valAx>
        <c:axId val="22992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9929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Dimensiones!$B$23</c:f>
              <c:strCache>
                <c:ptCount val="1"/>
                <c:pt idx="0">
                  <c:v>2018</c:v>
                </c:pt>
              </c:strCache>
            </c:strRef>
          </c:tx>
          <c:spPr>
            <a:solidFill>
              <a:schemeClr val="accent1"/>
            </a:solidFill>
            <a:ln>
              <a:noFill/>
            </a:ln>
            <a:effectLst/>
          </c:spPr>
          <c:invertIfNegative val="0"/>
          <c:cat>
            <c:strRef>
              <c:f>Dimensiones!$A$24:$A$30</c:f>
              <c:strCache>
                <c:ptCount val="7"/>
                <c:pt idx="0">
                  <c:v>Gestión del conocimiento</c:v>
                </c:pt>
                <c:pt idx="1">
                  <c:v>Control interno</c:v>
                </c:pt>
                <c:pt idx="2">
                  <c:v>Gestión con valores</c:v>
                </c:pt>
                <c:pt idx="3">
                  <c:v>Información y comunicación</c:v>
                </c:pt>
                <c:pt idx="4">
                  <c:v>Talento humano</c:v>
                </c:pt>
                <c:pt idx="5">
                  <c:v>Direccionamiento estratégico</c:v>
                </c:pt>
                <c:pt idx="6">
                  <c:v>Evaluación de resultados</c:v>
                </c:pt>
              </c:strCache>
            </c:strRef>
          </c:cat>
          <c:val>
            <c:numRef>
              <c:f>Dimensiones!$B$24:$B$30</c:f>
              <c:numCache>
                <c:formatCode>General</c:formatCode>
                <c:ptCount val="7"/>
                <c:pt idx="0">
                  <c:v>87</c:v>
                </c:pt>
                <c:pt idx="1">
                  <c:v>79.3</c:v>
                </c:pt>
                <c:pt idx="2">
                  <c:v>79.5</c:v>
                </c:pt>
                <c:pt idx="3">
                  <c:v>80.7</c:v>
                </c:pt>
                <c:pt idx="4">
                  <c:v>76.2</c:v>
                </c:pt>
                <c:pt idx="5">
                  <c:v>77.8</c:v>
                </c:pt>
                <c:pt idx="6">
                  <c:v>79.099999999999994</c:v>
                </c:pt>
              </c:numCache>
            </c:numRef>
          </c:val>
          <c:extLst>
            <c:ext xmlns:c16="http://schemas.microsoft.com/office/drawing/2014/chart" uri="{C3380CC4-5D6E-409C-BE32-E72D297353CC}">
              <c16:uniqueId val="{00000000-8E8A-49BD-9905-B8530CC3C9FE}"/>
            </c:ext>
          </c:extLst>
        </c:ser>
        <c:ser>
          <c:idx val="1"/>
          <c:order val="1"/>
          <c:tx>
            <c:strRef>
              <c:f>Dimensiones!$C$23</c:f>
              <c:strCache>
                <c:ptCount val="1"/>
                <c:pt idx="0">
                  <c:v>2019</c:v>
                </c:pt>
              </c:strCache>
            </c:strRef>
          </c:tx>
          <c:spPr>
            <a:solidFill>
              <a:schemeClr val="accent2"/>
            </a:solidFill>
            <a:ln>
              <a:noFill/>
            </a:ln>
            <a:effectLst/>
          </c:spPr>
          <c:invertIfNegative val="0"/>
          <c:cat>
            <c:strRef>
              <c:f>Dimensiones!$A$24:$A$30</c:f>
              <c:strCache>
                <c:ptCount val="7"/>
                <c:pt idx="0">
                  <c:v>Gestión del conocimiento</c:v>
                </c:pt>
                <c:pt idx="1">
                  <c:v>Control interno</c:v>
                </c:pt>
                <c:pt idx="2">
                  <c:v>Gestión con valores</c:v>
                </c:pt>
                <c:pt idx="3">
                  <c:v>Información y comunicación</c:v>
                </c:pt>
                <c:pt idx="4">
                  <c:v>Talento humano</c:v>
                </c:pt>
                <c:pt idx="5">
                  <c:v>Direccionamiento estratégico</c:v>
                </c:pt>
                <c:pt idx="6">
                  <c:v>Evaluación de resultados</c:v>
                </c:pt>
              </c:strCache>
            </c:strRef>
          </c:cat>
          <c:val>
            <c:numRef>
              <c:f>Dimensiones!$C$24:$C$30</c:f>
              <c:numCache>
                <c:formatCode>General</c:formatCode>
                <c:ptCount val="7"/>
                <c:pt idx="0">
                  <c:v>99.6</c:v>
                </c:pt>
                <c:pt idx="1">
                  <c:v>93.5</c:v>
                </c:pt>
                <c:pt idx="2">
                  <c:v>92</c:v>
                </c:pt>
                <c:pt idx="3">
                  <c:v>89</c:v>
                </c:pt>
                <c:pt idx="4">
                  <c:v>88.9</c:v>
                </c:pt>
                <c:pt idx="5">
                  <c:v>87.1</c:v>
                </c:pt>
                <c:pt idx="6">
                  <c:v>80.3</c:v>
                </c:pt>
              </c:numCache>
            </c:numRef>
          </c:val>
          <c:extLst>
            <c:ext xmlns:c16="http://schemas.microsoft.com/office/drawing/2014/chart" uri="{C3380CC4-5D6E-409C-BE32-E72D297353CC}">
              <c16:uniqueId val="{00000001-8E8A-49BD-9905-B8530CC3C9FE}"/>
            </c:ext>
          </c:extLst>
        </c:ser>
        <c:dLbls>
          <c:showLegendKey val="0"/>
          <c:showVal val="0"/>
          <c:showCatName val="0"/>
          <c:showSerName val="0"/>
          <c:showPercent val="0"/>
          <c:showBubbleSize val="0"/>
        </c:dLbls>
        <c:gapWidth val="219"/>
        <c:overlap val="-27"/>
        <c:axId val="274372360"/>
        <c:axId val="274373344"/>
      </c:barChart>
      <c:catAx>
        <c:axId val="27437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s-CO"/>
          </a:p>
        </c:txPr>
        <c:crossAx val="274373344"/>
        <c:crosses val="autoZero"/>
        <c:auto val="1"/>
        <c:lblAlgn val="ctr"/>
        <c:lblOffset val="100"/>
        <c:noMultiLvlLbl val="0"/>
      </c:catAx>
      <c:valAx>
        <c:axId val="27437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7437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50800" dir="5400000" algn="ctr" rotWithShape="0">
        <a:srgbClr val="FFC000"/>
      </a:outerShdw>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a:outerShdw blurRad="50800" dist="50800" dir="5400000" algn="ctr" rotWithShape="0">
                <a:schemeClr val="accent3"/>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Políticas!$A$38:$A$52</c:f>
              <c:strCache>
                <c:ptCount val="15"/>
                <c:pt idx="0">
                  <c:v>Gestión del conocimiento</c:v>
                </c:pt>
                <c:pt idx="1">
                  <c:v>Servicio al ciudadano</c:v>
                </c:pt>
                <c:pt idx="2">
                  <c:v>Seguridad digital</c:v>
                </c:pt>
                <c:pt idx="3">
                  <c:v>Control interno</c:v>
                </c:pt>
                <c:pt idx="4">
                  <c:v>Gobierno digital</c:v>
                </c:pt>
                <c:pt idx="5">
                  <c:v>Transparencia, acceso a la inf pública</c:v>
                </c:pt>
                <c:pt idx="6">
                  <c:v>Gestión estratégica del talento humano</c:v>
                </c:pt>
                <c:pt idx="7">
                  <c:v>Integridad</c:v>
                </c:pt>
                <c:pt idx="8">
                  <c:v>Planeación institucional</c:v>
                </c:pt>
                <c:pt idx="9">
                  <c:v>Fortalecimiento organizacional</c:v>
                </c:pt>
                <c:pt idx="10">
                  <c:v>Gestión documental</c:v>
                </c:pt>
                <c:pt idx="11">
                  <c:v>Participación ciudadana</c:v>
                </c:pt>
                <c:pt idx="12">
                  <c:v>Racionalización de trámites</c:v>
                </c:pt>
                <c:pt idx="13">
                  <c:v>Seguimiento y evaluación</c:v>
                </c:pt>
                <c:pt idx="14">
                  <c:v>Defensa jurídica</c:v>
                </c:pt>
              </c:strCache>
            </c:strRef>
          </c:cat>
          <c:val>
            <c:numRef>
              <c:f>Políticas!$B$38:$B$52</c:f>
              <c:numCache>
                <c:formatCode>General</c:formatCode>
                <c:ptCount val="15"/>
                <c:pt idx="0">
                  <c:v>96.6</c:v>
                </c:pt>
                <c:pt idx="1">
                  <c:v>96.3</c:v>
                </c:pt>
                <c:pt idx="2">
                  <c:v>96</c:v>
                </c:pt>
                <c:pt idx="3">
                  <c:v>93.5</c:v>
                </c:pt>
                <c:pt idx="4">
                  <c:v>89.8</c:v>
                </c:pt>
                <c:pt idx="5">
                  <c:v>89.5</c:v>
                </c:pt>
                <c:pt idx="6">
                  <c:v>88.1</c:v>
                </c:pt>
                <c:pt idx="7">
                  <c:v>87.3</c:v>
                </c:pt>
                <c:pt idx="8">
                  <c:v>87.1</c:v>
                </c:pt>
                <c:pt idx="9">
                  <c:v>85.5</c:v>
                </c:pt>
                <c:pt idx="10">
                  <c:v>84.6</c:v>
                </c:pt>
                <c:pt idx="11">
                  <c:v>83.4</c:v>
                </c:pt>
                <c:pt idx="12">
                  <c:v>81.400000000000006</c:v>
                </c:pt>
                <c:pt idx="13">
                  <c:v>80.3</c:v>
                </c:pt>
                <c:pt idx="14">
                  <c:v>74.900000000000006</c:v>
                </c:pt>
              </c:numCache>
            </c:numRef>
          </c:val>
          <c:extLst>
            <c:ext xmlns:c16="http://schemas.microsoft.com/office/drawing/2014/chart" uri="{C3380CC4-5D6E-409C-BE32-E72D297353CC}">
              <c16:uniqueId val="{00000000-3634-40FF-88CA-BA8A941B7E7B}"/>
            </c:ext>
          </c:extLst>
        </c:ser>
        <c:dLbls>
          <c:showLegendKey val="0"/>
          <c:showVal val="0"/>
          <c:showCatName val="0"/>
          <c:showSerName val="0"/>
          <c:showPercent val="0"/>
          <c:showBubbleSize val="0"/>
        </c:dLbls>
        <c:gapWidth val="219"/>
        <c:overlap val="-27"/>
        <c:axId val="69832840"/>
        <c:axId val="69833824"/>
      </c:barChart>
      <c:catAx>
        <c:axId val="69832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s-CO"/>
          </a:p>
        </c:txPr>
        <c:crossAx val="69833824"/>
        <c:crosses val="autoZero"/>
        <c:auto val="1"/>
        <c:lblAlgn val="ctr"/>
        <c:lblOffset val="100"/>
        <c:noMultiLvlLbl val="0"/>
      </c:catAx>
      <c:valAx>
        <c:axId val="6983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832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50800" dir="5400000" algn="ctr" rotWithShape="0">
        <a:schemeClr val="accent2">
          <a:lumMod val="75000"/>
        </a:schemeClr>
      </a:outerShdw>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Políticas!$B$19</c:f>
              <c:strCache>
                <c:ptCount val="1"/>
                <c:pt idx="0">
                  <c:v>2018</c:v>
                </c:pt>
              </c:strCache>
            </c:strRef>
          </c:tx>
          <c:spPr>
            <a:solidFill>
              <a:schemeClr val="accent1"/>
            </a:solidFill>
            <a:ln>
              <a:noFill/>
            </a:ln>
            <a:effectLst/>
          </c:spPr>
          <c:invertIfNegative val="0"/>
          <c:dLbls>
            <c:dLbl>
              <c:idx val="0"/>
              <c:layout>
                <c:manualLayout>
                  <c:x val="-2.4892509617560534E-2"/>
                  <c:y val="5.6568196103079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2F-4A6F-8990-7A3FAA4B2A5D}"/>
                </c:ext>
              </c:extLst>
            </c:dLbl>
            <c:dLbl>
              <c:idx val="1"/>
              <c:layout>
                <c:manualLayout>
                  <c:x val="-1.5840687938447635E-2"/>
                  <c:y val="5.6568196103079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2F-4A6F-8990-7A3FAA4B2A5D}"/>
                </c:ext>
              </c:extLst>
            </c:dLbl>
            <c:dLbl>
              <c:idx val="2"/>
              <c:layout>
                <c:manualLayout>
                  <c:x val="-2.0366598778004116E-2"/>
                  <c:y val="5.6568196103079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2F-4A6F-8990-7A3FAA4B2A5D}"/>
                </c:ext>
              </c:extLst>
            </c:dLbl>
            <c:dLbl>
              <c:idx val="3"/>
              <c:layout>
                <c:manualLayout>
                  <c:x val="-1.3577732518669382E-2"/>
                  <c:y val="5.6568196103079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2F-4A6F-8990-7A3FAA4B2A5D}"/>
                </c:ext>
              </c:extLst>
            </c:dLbl>
            <c:dLbl>
              <c:idx val="4"/>
              <c:layout>
                <c:manualLayout>
                  <c:x val="-1.1314777098891194E-2"/>
                  <c:y val="7.54242614707730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2F-4A6F-8990-7A3FAA4B2A5D}"/>
                </c:ext>
              </c:extLst>
            </c:dLbl>
            <c:dLbl>
              <c:idx val="5"/>
              <c:layout>
                <c:manualLayout>
                  <c:x val="-6.788866259334691E-3"/>
                  <c:y val="7.5424261470773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2F-4A6F-8990-7A3FAA4B2A5D}"/>
                </c:ext>
              </c:extLst>
            </c:dLbl>
            <c:dLbl>
              <c:idx val="6"/>
              <c:layout>
                <c:manualLayout>
                  <c:x val="-1.5840687938447614E-2"/>
                  <c:y val="5.6568196103079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2F-4A6F-8990-7A3FAA4B2A5D}"/>
                </c:ext>
              </c:extLst>
            </c:dLbl>
            <c:dLbl>
              <c:idx val="7"/>
              <c:layout>
                <c:manualLayout>
                  <c:x val="-6.788866259334691E-3"/>
                  <c:y val="5.6568196103079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2F-4A6F-8990-7A3FAA4B2A5D}"/>
                </c:ext>
              </c:extLst>
            </c:dLbl>
            <c:dLbl>
              <c:idx val="8"/>
              <c:layout>
                <c:manualLayout>
                  <c:x val="-1.5840687938447697E-2"/>
                  <c:y val="5.6568196103079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2F-4A6F-8990-7A3FAA4B2A5D}"/>
                </c:ext>
              </c:extLst>
            </c:dLbl>
            <c:dLbl>
              <c:idx val="9"/>
              <c:layout>
                <c:manualLayout>
                  <c:x val="-1.3577732518669382E-2"/>
                  <c:y val="6.2853551225644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2F-4A6F-8990-7A3FAA4B2A5D}"/>
                </c:ext>
              </c:extLst>
            </c:dLbl>
            <c:dLbl>
              <c:idx val="10"/>
              <c:layout>
                <c:manualLayout>
                  <c:x val="-1.8103643358225927E-2"/>
                  <c:y val="5.6568196103079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A2F-4A6F-8990-7A3FAA4B2A5D}"/>
                </c:ext>
              </c:extLst>
            </c:dLbl>
            <c:dLbl>
              <c:idx val="11"/>
              <c:layout>
                <c:manualLayout>
                  <c:x val="-1.5840687938447697E-2"/>
                  <c:y val="6.913890634820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2F-4A6F-8990-7A3FAA4B2A5D}"/>
                </c:ext>
              </c:extLst>
            </c:dLbl>
            <c:dLbl>
              <c:idx val="12"/>
              <c:layout>
                <c:manualLayout>
                  <c:x val="-1.5840687938447614E-2"/>
                  <c:y val="4.3997485857950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2F-4A6F-8990-7A3FAA4B2A5D}"/>
                </c:ext>
              </c:extLst>
            </c:dLbl>
            <c:dLbl>
              <c:idx val="13"/>
              <c:layout>
                <c:manualLayout>
                  <c:x val="-1.5840687938447777E-2"/>
                  <c:y val="7.54242614707731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2F-4A6F-8990-7A3FAA4B2A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Políticas!$A$20:$A$34</c:f>
              <c:strCache>
                <c:ptCount val="15"/>
                <c:pt idx="0">
                  <c:v>Gestión del conocimiento</c:v>
                </c:pt>
                <c:pt idx="1">
                  <c:v>Servicio al ciudadano</c:v>
                </c:pt>
                <c:pt idx="2">
                  <c:v>Seguridad digital</c:v>
                </c:pt>
                <c:pt idx="3">
                  <c:v>Control interno</c:v>
                </c:pt>
                <c:pt idx="4">
                  <c:v>Gobierno digital</c:v>
                </c:pt>
                <c:pt idx="5">
                  <c:v>Transparencia, acceso a la inf pública</c:v>
                </c:pt>
                <c:pt idx="6">
                  <c:v>Gestión estratégica del talento humano</c:v>
                </c:pt>
                <c:pt idx="7">
                  <c:v>Integridad</c:v>
                </c:pt>
                <c:pt idx="8">
                  <c:v>Planeación institucional</c:v>
                </c:pt>
                <c:pt idx="9">
                  <c:v>Fortalecimiento organizacional</c:v>
                </c:pt>
                <c:pt idx="10">
                  <c:v>Gestión documental</c:v>
                </c:pt>
                <c:pt idx="11">
                  <c:v>Participación ciudadana</c:v>
                </c:pt>
                <c:pt idx="12">
                  <c:v>Racionalización de trámites</c:v>
                </c:pt>
                <c:pt idx="13">
                  <c:v>Seguimiento y evaluación</c:v>
                </c:pt>
                <c:pt idx="14">
                  <c:v>Defensa jurídica</c:v>
                </c:pt>
              </c:strCache>
            </c:strRef>
          </c:cat>
          <c:val>
            <c:numRef>
              <c:f>Políticas!$B$20:$B$34</c:f>
              <c:numCache>
                <c:formatCode>General</c:formatCode>
                <c:ptCount val="15"/>
                <c:pt idx="0">
                  <c:v>87</c:v>
                </c:pt>
                <c:pt idx="1">
                  <c:v>82</c:v>
                </c:pt>
                <c:pt idx="2">
                  <c:v>73</c:v>
                </c:pt>
                <c:pt idx="3">
                  <c:v>79.3</c:v>
                </c:pt>
                <c:pt idx="4">
                  <c:v>79.900000000000006</c:v>
                </c:pt>
                <c:pt idx="5">
                  <c:v>80</c:v>
                </c:pt>
                <c:pt idx="6">
                  <c:v>74.099999999999994</c:v>
                </c:pt>
                <c:pt idx="7">
                  <c:v>80.599999999999994</c:v>
                </c:pt>
                <c:pt idx="8">
                  <c:v>77.099999999999994</c:v>
                </c:pt>
                <c:pt idx="9">
                  <c:v>79</c:v>
                </c:pt>
                <c:pt idx="10">
                  <c:v>78.8</c:v>
                </c:pt>
                <c:pt idx="11">
                  <c:v>80.900000000000006</c:v>
                </c:pt>
                <c:pt idx="12">
                  <c:v>73.900000000000006</c:v>
                </c:pt>
                <c:pt idx="13">
                  <c:v>79.099999999999994</c:v>
                </c:pt>
              </c:numCache>
            </c:numRef>
          </c:val>
          <c:extLst>
            <c:ext xmlns:c16="http://schemas.microsoft.com/office/drawing/2014/chart" uri="{C3380CC4-5D6E-409C-BE32-E72D297353CC}">
              <c16:uniqueId val="{0000000E-EA2F-4A6F-8990-7A3FAA4B2A5D}"/>
            </c:ext>
          </c:extLst>
        </c:ser>
        <c:ser>
          <c:idx val="1"/>
          <c:order val="1"/>
          <c:tx>
            <c:strRef>
              <c:f>Políticas!$C$19</c:f>
              <c:strCache>
                <c:ptCount val="1"/>
                <c:pt idx="0">
                  <c:v>2019</c:v>
                </c:pt>
              </c:strCache>
            </c:strRef>
          </c:tx>
          <c:spPr>
            <a:solidFill>
              <a:schemeClr val="accent2"/>
            </a:solidFill>
            <a:ln>
              <a:noFill/>
            </a:ln>
            <a:effectLst>
              <a:outerShdw blurRad="50800" dist="50800" dir="5400000" algn="ctr" rotWithShape="0">
                <a:schemeClr val="accent4"/>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Políticas!$A$20:$A$34</c:f>
              <c:strCache>
                <c:ptCount val="15"/>
                <c:pt idx="0">
                  <c:v>Gestión del conocimiento</c:v>
                </c:pt>
                <c:pt idx="1">
                  <c:v>Servicio al ciudadano</c:v>
                </c:pt>
                <c:pt idx="2">
                  <c:v>Seguridad digital</c:v>
                </c:pt>
                <c:pt idx="3">
                  <c:v>Control interno</c:v>
                </c:pt>
                <c:pt idx="4">
                  <c:v>Gobierno digital</c:v>
                </c:pt>
                <c:pt idx="5">
                  <c:v>Transparencia, acceso a la inf pública</c:v>
                </c:pt>
                <c:pt idx="6">
                  <c:v>Gestión estratégica del talento humano</c:v>
                </c:pt>
                <c:pt idx="7">
                  <c:v>Integridad</c:v>
                </c:pt>
                <c:pt idx="8">
                  <c:v>Planeación institucional</c:v>
                </c:pt>
                <c:pt idx="9">
                  <c:v>Fortalecimiento organizacional</c:v>
                </c:pt>
                <c:pt idx="10">
                  <c:v>Gestión documental</c:v>
                </c:pt>
                <c:pt idx="11">
                  <c:v>Participación ciudadana</c:v>
                </c:pt>
                <c:pt idx="12">
                  <c:v>Racionalización de trámites</c:v>
                </c:pt>
                <c:pt idx="13">
                  <c:v>Seguimiento y evaluación</c:v>
                </c:pt>
                <c:pt idx="14">
                  <c:v>Defensa jurídica</c:v>
                </c:pt>
              </c:strCache>
            </c:strRef>
          </c:cat>
          <c:val>
            <c:numRef>
              <c:f>Políticas!$C$20:$C$34</c:f>
              <c:numCache>
                <c:formatCode>General</c:formatCode>
                <c:ptCount val="15"/>
                <c:pt idx="0">
                  <c:v>96.6</c:v>
                </c:pt>
                <c:pt idx="1">
                  <c:v>96.3</c:v>
                </c:pt>
                <c:pt idx="2">
                  <c:v>96</c:v>
                </c:pt>
                <c:pt idx="3">
                  <c:v>93.5</c:v>
                </c:pt>
                <c:pt idx="4">
                  <c:v>89.8</c:v>
                </c:pt>
                <c:pt idx="5">
                  <c:v>89.5</c:v>
                </c:pt>
                <c:pt idx="6">
                  <c:v>88.1</c:v>
                </c:pt>
                <c:pt idx="7">
                  <c:v>87.3</c:v>
                </c:pt>
                <c:pt idx="8">
                  <c:v>87.1</c:v>
                </c:pt>
                <c:pt idx="9">
                  <c:v>85.5</c:v>
                </c:pt>
                <c:pt idx="10">
                  <c:v>84.6</c:v>
                </c:pt>
                <c:pt idx="11">
                  <c:v>83.4</c:v>
                </c:pt>
                <c:pt idx="12">
                  <c:v>81.400000000000006</c:v>
                </c:pt>
                <c:pt idx="13">
                  <c:v>80.3</c:v>
                </c:pt>
                <c:pt idx="14">
                  <c:v>74.900000000000006</c:v>
                </c:pt>
              </c:numCache>
            </c:numRef>
          </c:val>
          <c:extLst>
            <c:ext xmlns:c16="http://schemas.microsoft.com/office/drawing/2014/chart" uri="{C3380CC4-5D6E-409C-BE32-E72D297353CC}">
              <c16:uniqueId val="{0000000F-EA2F-4A6F-8990-7A3FAA4B2A5D}"/>
            </c:ext>
          </c:extLst>
        </c:ser>
        <c:dLbls>
          <c:showLegendKey val="0"/>
          <c:showVal val="0"/>
          <c:showCatName val="0"/>
          <c:showSerName val="0"/>
          <c:showPercent val="0"/>
          <c:showBubbleSize val="0"/>
        </c:dLbls>
        <c:gapWidth val="219"/>
        <c:overlap val="-27"/>
        <c:axId val="418772080"/>
        <c:axId val="394943008"/>
      </c:barChart>
      <c:catAx>
        <c:axId val="41877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s-CO"/>
          </a:p>
        </c:txPr>
        <c:crossAx val="394943008"/>
        <c:crosses val="autoZero"/>
        <c:auto val="1"/>
        <c:lblAlgn val="ctr"/>
        <c:lblOffset val="100"/>
        <c:noMultiLvlLbl val="0"/>
      </c:catAx>
      <c:valAx>
        <c:axId val="3949430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877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50800" dir="5400000" algn="ctr" rotWithShape="0">
        <a:schemeClr val="accent3"/>
      </a:outerShdw>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A4B9-4C2C-9329-0625B7E5F97E}"/>
              </c:ext>
            </c:extLst>
          </c:dPt>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3-A4B9-4C2C-9329-0625B7E5F97E}"/>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MECI!$A$5:$A$6</c:f>
              <c:numCache>
                <c:formatCode>General</c:formatCode>
                <c:ptCount val="2"/>
                <c:pt idx="0">
                  <c:v>2018</c:v>
                </c:pt>
                <c:pt idx="1">
                  <c:v>2019</c:v>
                </c:pt>
              </c:numCache>
            </c:numRef>
          </c:cat>
          <c:val>
            <c:numRef>
              <c:f>MECI!$B$5:$B$6</c:f>
              <c:numCache>
                <c:formatCode>General</c:formatCode>
                <c:ptCount val="2"/>
                <c:pt idx="0">
                  <c:v>83.1</c:v>
                </c:pt>
                <c:pt idx="1">
                  <c:v>93.5</c:v>
                </c:pt>
              </c:numCache>
            </c:numRef>
          </c:val>
          <c:extLst>
            <c:ext xmlns:c16="http://schemas.microsoft.com/office/drawing/2014/chart" uri="{C3380CC4-5D6E-409C-BE32-E72D297353CC}">
              <c16:uniqueId val="{00000004-A4B9-4C2C-9329-0625B7E5F97E}"/>
            </c:ext>
          </c:extLst>
        </c:ser>
        <c:dLbls>
          <c:showLegendKey val="0"/>
          <c:showVal val="0"/>
          <c:showCatName val="0"/>
          <c:showSerName val="0"/>
          <c:showPercent val="0"/>
          <c:showBubbleSize val="0"/>
        </c:dLbls>
        <c:gapWidth val="219"/>
        <c:overlap val="-27"/>
        <c:axId val="315789144"/>
        <c:axId val="315792424"/>
      </c:barChart>
      <c:catAx>
        <c:axId val="31578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CO"/>
          </a:p>
        </c:txPr>
        <c:crossAx val="315792424"/>
        <c:crosses val="autoZero"/>
        <c:auto val="1"/>
        <c:lblAlgn val="ctr"/>
        <c:lblOffset val="100"/>
        <c:noMultiLvlLbl val="0"/>
      </c:catAx>
      <c:valAx>
        <c:axId val="315792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15789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50800" dir="5400000" algn="ctr" rotWithShape="0">
        <a:schemeClr val="accent2">
          <a:lumMod val="75000"/>
        </a:schemeClr>
      </a:outerShdw>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MECI!$A$34:$A$38</c:f>
              <c:strCache>
                <c:ptCount val="5"/>
                <c:pt idx="0">
                  <c:v>Evaluación del riesgo</c:v>
                </c:pt>
                <c:pt idx="1">
                  <c:v>Actividades de monitoreo</c:v>
                </c:pt>
                <c:pt idx="2">
                  <c:v>Información oportuna y relevante</c:v>
                </c:pt>
                <c:pt idx="3">
                  <c:v>Actividades de control</c:v>
                </c:pt>
                <c:pt idx="4">
                  <c:v>Ambiente de control</c:v>
                </c:pt>
              </c:strCache>
            </c:strRef>
          </c:cat>
          <c:val>
            <c:numRef>
              <c:f>MECI!$B$34:$B$38</c:f>
              <c:numCache>
                <c:formatCode>General</c:formatCode>
                <c:ptCount val="5"/>
                <c:pt idx="0">
                  <c:v>93.6</c:v>
                </c:pt>
                <c:pt idx="1">
                  <c:v>92.8</c:v>
                </c:pt>
                <c:pt idx="2">
                  <c:v>92.2</c:v>
                </c:pt>
                <c:pt idx="3">
                  <c:v>89.5</c:v>
                </c:pt>
                <c:pt idx="4">
                  <c:v>89.4</c:v>
                </c:pt>
              </c:numCache>
            </c:numRef>
          </c:val>
          <c:extLst>
            <c:ext xmlns:c16="http://schemas.microsoft.com/office/drawing/2014/chart" uri="{C3380CC4-5D6E-409C-BE32-E72D297353CC}">
              <c16:uniqueId val="{00000000-5E70-4828-BABD-272AFDA2AEE1}"/>
            </c:ext>
          </c:extLst>
        </c:ser>
        <c:dLbls>
          <c:showLegendKey val="0"/>
          <c:showVal val="0"/>
          <c:showCatName val="0"/>
          <c:showSerName val="0"/>
          <c:showPercent val="0"/>
          <c:showBubbleSize val="0"/>
        </c:dLbls>
        <c:gapWidth val="219"/>
        <c:overlap val="-27"/>
        <c:axId val="274105992"/>
        <c:axId val="274107304"/>
      </c:barChart>
      <c:catAx>
        <c:axId val="274105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274107304"/>
        <c:crosses val="autoZero"/>
        <c:auto val="1"/>
        <c:lblAlgn val="ctr"/>
        <c:lblOffset val="100"/>
        <c:noMultiLvlLbl val="0"/>
      </c:catAx>
      <c:valAx>
        <c:axId val="274107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74105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50800" dir="5400000" algn="ctr" rotWithShape="0">
        <a:schemeClr val="accent6"/>
      </a:outerShdw>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MECI!$B$41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MECI!$A$42:$A$46</c:f>
              <c:strCache>
                <c:ptCount val="5"/>
                <c:pt idx="0">
                  <c:v>Evaluación del riesgo</c:v>
                </c:pt>
                <c:pt idx="1">
                  <c:v>Actividades de monitoreo</c:v>
                </c:pt>
                <c:pt idx="2">
                  <c:v>Información oportuna y relevante</c:v>
                </c:pt>
                <c:pt idx="3">
                  <c:v>Actividades de control</c:v>
                </c:pt>
                <c:pt idx="4">
                  <c:v>Ambiente de control</c:v>
                </c:pt>
              </c:strCache>
            </c:strRef>
          </c:cat>
          <c:val>
            <c:numRef>
              <c:f>MECI!$B$42:$B$46</c:f>
              <c:numCache>
                <c:formatCode>General</c:formatCode>
                <c:ptCount val="5"/>
                <c:pt idx="0">
                  <c:v>77.3</c:v>
                </c:pt>
                <c:pt idx="1">
                  <c:v>77.900000000000006</c:v>
                </c:pt>
                <c:pt idx="2">
                  <c:v>83.8</c:v>
                </c:pt>
                <c:pt idx="3">
                  <c:v>74.400000000000006</c:v>
                </c:pt>
                <c:pt idx="4">
                  <c:v>80.3</c:v>
                </c:pt>
              </c:numCache>
            </c:numRef>
          </c:val>
          <c:extLst>
            <c:ext xmlns:c16="http://schemas.microsoft.com/office/drawing/2014/chart" uri="{C3380CC4-5D6E-409C-BE32-E72D297353CC}">
              <c16:uniqueId val="{00000000-EC30-49BD-A66C-8B10811DB0EA}"/>
            </c:ext>
          </c:extLst>
        </c:ser>
        <c:ser>
          <c:idx val="1"/>
          <c:order val="1"/>
          <c:tx>
            <c:strRef>
              <c:f>MECI!$C$41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MECI!$A$42:$A$46</c:f>
              <c:strCache>
                <c:ptCount val="5"/>
                <c:pt idx="0">
                  <c:v>Evaluación del riesgo</c:v>
                </c:pt>
                <c:pt idx="1">
                  <c:v>Actividades de monitoreo</c:v>
                </c:pt>
                <c:pt idx="2">
                  <c:v>Información oportuna y relevante</c:v>
                </c:pt>
                <c:pt idx="3">
                  <c:v>Actividades de control</c:v>
                </c:pt>
                <c:pt idx="4">
                  <c:v>Ambiente de control</c:v>
                </c:pt>
              </c:strCache>
            </c:strRef>
          </c:cat>
          <c:val>
            <c:numRef>
              <c:f>MECI!$C$42:$C$46</c:f>
              <c:numCache>
                <c:formatCode>General</c:formatCode>
                <c:ptCount val="5"/>
                <c:pt idx="0">
                  <c:v>93.6</c:v>
                </c:pt>
                <c:pt idx="1">
                  <c:v>92.8</c:v>
                </c:pt>
                <c:pt idx="2">
                  <c:v>92.2</c:v>
                </c:pt>
                <c:pt idx="3">
                  <c:v>89.5</c:v>
                </c:pt>
                <c:pt idx="4">
                  <c:v>89.4</c:v>
                </c:pt>
              </c:numCache>
            </c:numRef>
          </c:val>
          <c:extLst>
            <c:ext xmlns:c16="http://schemas.microsoft.com/office/drawing/2014/chart" uri="{C3380CC4-5D6E-409C-BE32-E72D297353CC}">
              <c16:uniqueId val="{00000001-EC30-49BD-A66C-8B10811DB0EA}"/>
            </c:ext>
          </c:extLst>
        </c:ser>
        <c:dLbls>
          <c:showLegendKey val="0"/>
          <c:showVal val="0"/>
          <c:showCatName val="0"/>
          <c:showSerName val="0"/>
          <c:showPercent val="0"/>
          <c:showBubbleSize val="0"/>
        </c:dLbls>
        <c:gapWidth val="219"/>
        <c:overlap val="-27"/>
        <c:axId val="392171152"/>
        <c:axId val="392169184"/>
      </c:barChart>
      <c:catAx>
        <c:axId val="39217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CO"/>
          </a:p>
        </c:txPr>
        <c:crossAx val="392169184"/>
        <c:crosses val="autoZero"/>
        <c:auto val="1"/>
        <c:lblAlgn val="ctr"/>
        <c:lblOffset val="100"/>
        <c:noMultiLvlLbl val="0"/>
      </c:catAx>
      <c:valAx>
        <c:axId val="39216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9217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50800" dir="5400000" algn="ctr" rotWithShape="0">
        <a:schemeClr val="accent6"/>
      </a:outerShdw>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MECI!$A$58:$A$61</c:f>
              <c:strCache>
                <c:ptCount val="4"/>
                <c:pt idx="0">
                  <c:v>Segunda línea de defensa</c:v>
                </c:pt>
                <c:pt idx="1">
                  <c:v>Línea estratégica</c:v>
                </c:pt>
                <c:pt idx="2">
                  <c:v>Tercera línea</c:v>
                </c:pt>
                <c:pt idx="3">
                  <c:v>Primera línea</c:v>
                </c:pt>
              </c:strCache>
            </c:strRef>
          </c:cat>
          <c:val>
            <c:numRef>
              <c:f>MECI!$B$58:$B$61</c:f>
              <c:numCache>
                <c:formatCode>General</c:formatCode>
                <c:ptCount val="4"/>
                <c:pt idx="0">
                  <c:v>93.6</c:v>
                </c:pt>
                <c:pt idx="1">
                  <c:v>92.4</c:v>
                </c:pt>
                <c:pt idx="2">
                  <c:v>90.4</c:v>
                </c:pt>
                <c:pt idx="3">
                  <c:v>89.8</c:v>
                </c:pt>
              </c:numCache>
            </c:numRef>
          </c:val>
          <c:extLst>
            <c:ext xmlns:c16="http://schemas.microsoft.com/office/drawing/2014/chart" uri="{C3380CC4-5D6E-409C-BE32-E72D297353CC}">
              <c16:uniqueId val="{00000000-C8F6-43D8-A53E-E064D2AB3A0E}"/>
            </c:ext>
          </c:extLst>
        </c:ser>
        <c:dLbls>
          <c:showLegendKey val="0"/>
          <c:showVal val="0"/>
          <c:showCatName val="0"/>
          <c:showSerName val="0"/>
          <c:showPercent val="0"/>
          <c:showBubbleSize val="0"/>
        </c:dLbls>
        <c:gapWidth val="219"/>
        <c:overlap val="-27"/>
        <c:axId val="392173776"/>
        <c:axId val="392175744"/>
      </c:barChart>
      <c:catAx>
        <c:axId val="39217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O"/>
          </a:p>
        </c:txPr>
        <c:crossAx val="392175744"/>
        <c:crosses val="autoZero"/>
        <c:auto val="1"/>
        <c:lblAlgn val="ctr"/>
        <c:lblOffset val="100"/>
        <c:noMultiLvlLbl val="0"/>
      </c:catAx>
      <c:valAx>
        <c:axId val="39217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9217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50800" dir="5400000" algn="ctr" rotWithShape="0">
        <a:schemeClr val="accent6"/>
      </a:outerShdw>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MECI!$B$74</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MECI!$A$75:$A$78</c:f>
              <c:strCache>
                <c:ptCount val="4"/>
                <c:pt idx="0">
                  <c:v>Segunda línea de defensa</c:v>
                </c:pt>
                <c:pt idx="1">
                  <c:v>Línea estratégica</c:v>
                </c:pt>
                <c:pt idx="2">
                  <c:v>Tercera línea</c:v>
                </c:pt>
                <c:pt idx="3">
                  <c:v>Primera línea</c:v>
                </c:pt>
              </c:strCache>
            </c:strRef>
          </c:cat>
          <c:val>
            <c:numRef>
              <c:f>MECI!$B$75:$B$78</c:f>
              <c:numCache>
                <c:formatCode>General</c:formatCode>
                <c:ptCount val="4"/>
                <c:pt idx="0">
                  <c:v>78.099999999999994</c:v>
                </c:pt>
                <c:pt idx="1">
                  <c:v>81.7</c:v>
                </c:pt>
                <c:pt idx="2">
                  <c:v>72.099999999999994</c:v>
                </c:pt>
                <c:pt idx="3">
                  <c:v>78.400000000000006</c:v>
                </c:pt>
              </c:numCache>
            </c:numRef>
          </c:val>
          <c:extLst>
            <c:ext xmlns:c16="http://schemas.microsoft.com/office/drawing/2014/chart" uri="{C3380CC4-5D6E-409C-BE32-E72D297353CC}">
              <c16:uniqueId val="{00000000-DE77-4F89-A870-ADD7F3CB4EDF}"/>
            </c:ext>
          </c:extLst>
        </c:ser>
        <c:ser>
          <c:idx val="1"/>
          <c:order val="1"/>
          <c:tx>
            <c:strRef>
              <c:f>MECI!$C$74</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MECI!$A$75:$A$78</c:f>
              <c:strCache>
                <c:ptCount val="4"/>
                <c:pt idx="0">
                  <c:v>Segunda línea de defensa</c:v>
                </c:pt>
                <c:pt idx="1">
                  <c:v>Línea estratégica</c:v>
                </c:pt>
                <c:pt idx="2">
                  <c:v>Tercera línea</c:v>
                </c:pt>
                <c:pt idx="3">
                  <c:v>Primera línea</c:v>
                </c:pt>
              </c:strCache>
            </c:strRef>
          </c:cat>
          <c:val>
            <c:numRef>
              <c:f>MECI!$C$75:$C$78</c:f>
              <c:numCache>
                <c:formatCode>General</c:formatCode>
                <c:ptCount val="4"/>
                <c:pt idx="0">
                  <c:v>93.6</c:v>
                </c:pt>
                <c:pt idx="1">
                  <c:v>92.4</c:v>
                </c:pt>
                <c:pt idx="2">
                  <c:v>90.4</c:v>
                </c:pt>
                <c:pt idx="3">
                  <c:v>89.8</c:v>
                </c:pt>
              </c:numCache>
            </c:numRef>
          </c:val>
          <c:extLst>
            <c:ext xmlns:c16="http://schemas.microsoft.com/office/drawing/2014/chart" uri="{C3380CC4-5D6E-409C-BE32-E72D297353CC}">
              <c16:uniqueId val="{00000001-DE77-4F89-A870-ADD7F3CB4EDF}"/>
            </c:ext>
          </c:extLst>
        </c:ser>
        <c:dLbls>
          <c:showLegendKey val="0"/>
          <c:showVal val="0"/>
          <c:showCatName val="0"/>
          <c:showSerName val="0"/>
          <c:showPercent val="0"/>
          <c:showBubbleSize val="0"/>
        </c:dLbls>
        <c:gapWidth val="219"/>
        <c:overlap val="-27"/>
        <c:axId val="456044768"/>
        <c:axId val="456038208"/>
      </c:barChart>
      <c:catAx>
        <c:axId val="45604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O"/>
          </a:p>
        </c:txPr>
        <c:crossAx val="456038208"/>
        <c:crosses val="autoZero"/>
        <c:auto val="1"/>
        <c:lblAlgn val="ctr"/>
        <c:lblOffset val="100"/>
        <c:noMultiLvlLbl val="0"/>
      </c:catAx>
      <c:valAx>
        <c:axId val="45603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604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50800" dir="5400000" algn="ctr" rotWithShape="0">
        <a:schemeClr val="accent4"/>
      </a:outerShdw>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CAC2B2A93D0C4F8941647F223E6A43" ma:contentTypeVersion="4" ma:contentTypeDescription="Create a new document." ma:contentTypeScope="" ma:versionID="4203df0ae85eddf34187ecacdef4880a">
  <xsd:schema xmlns:xsd="http://www.w3.org/2001/XMLSchema" xmlns:xs="http://www.w3.org/2001/XMLSchema" xmlns:p="http://schemas.microsoft.com/office/2006/metadata/properties" xmlns:ns3="f016f5b2-a6eb-40fd-b2f7-aac3ef20f6c5" targetNamespace="http://schemas.microsoft.com/office/2006/metadata/properties" ma:root="true" ma:fieldsID="2772001694b3f71498aeb1b4c986a24a" ns3:_="">
    <xsd:import namespace="f016f5b2-a6eb-40fd-b2f7-aac3ef20f6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6f5b2-a6eb-40fd-b2f7-aac3ef20f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CE9CB-429D-499D-BAE8-A7F0FF359E6A}">
  <ds:schemaRefs>
    <ds:schemaRef ds:uri="http://schemas.openxmlformats.org/officeDocument/2006/bibliography"/>
  </ds:schemaRefs>
</ds:datastoreItem>
</file>

<file path=customXml/itemProps2.xml><?xml version="1.0" encoding="utf-8"?>
<ds:datastoreItem xmlns:ds="http://schemas.openxmlformats.org/officeDocument/2006/customXml" ds:itemID="{A043472B-A967-4F7A-B3A6-B00F28DF2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ADB79-EB15-4AE8-A585-550536383F5D}">
  <ds:schemaRefs>
    <ds:schemaRef ds:uri="http://schemas.microsoft.com/sharepoint/v3/contenttype/forms"/>
  </ds:schemaRefs>
</ds:datastoreItem>
</file>

<file path=customXml/itemProps4.xml><?xml version="1.0" encoding="utf-8"?>
<ds:datastoreItem xmlns:ds="http://schemas.openxmlformats.org/officeDocument/2006/customXml" ds:itemID="{6FE8CBC1-ADB5-486B-8CB0-2FF58F867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6f5b2-a6eb-40fd-b2f7-aac3ef20f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6536</Words>
  <Characters>35952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ACTA 1</vt:lpstr>
    </vt:vector>
  </TitlesOfParts>
  <Company/>
  <LinksUpToDate>false</LinksUpToDate>
  <CharactersWithSpaces>42404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1</dc:title>
  <dc:subject/>
  <dc:creator>Mabby Nathalia Torres Hernandez</dc:creator>
  <cp:keywords/>
  <cp:lastModifiedBy>Viviana Mendoza</cp:lastModifiedBy>
  <cp:revision>4</cp:revision>
  <cp:lastPrinted>2018-01-25T20:48:00Z</cp:lastPrinted>
  <dcterms:created xsi:type="dcterms:W3CDTF">2020-12-24T16:49:00Z</dcterms:created>
  <dcterms:modified xsi:type="dcterms:W3CDTF">2021-01-12T17:25:00Z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0x01010012CAC2B2A93D0C4F8941647F223E6A43</vt:lpwstr>
  </property>
</Properties>
</file>