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D9C2A" w14:textId="77777777" w:rsidR="00013E1B" w:rsidRPr="005D46AA" w:rsidRDefault="00927EF8" w:rsidP="00586EA9">
      <w:pPr>
        <w:pStyle w:val="Prrafodelista"/>
        <w:numPr>
          <w:ilvl w:val="0"/>
          <w:numId w:val="11"/>
        </w:numPr>
        <w:spacing w:after="0" w:line="240" w:lineRule="auto"/>
        <w:jc w:val="both"/>
        <w:rPr>
          <w:rFonts w:ascii="Arial" w:hAnsi="Arial" w:cs="Arial"/>
          <w:bCs/>
        </w:rPr>
      </w:pPr>
      <w:r w:rsidRPr="005D46AA">
        <w:rPr>
          <w:rFonts w:ascii="Arial" w:hAnsi="Arial" w:cs="Arial"/>
          <w:bCs/>
        </w:rPr>
        <w:t>Objetivo</w:t>
      </w:r>
    </w:p>
    <w:p w14:paraId="510CD6CA" w14:textId="77777777" w:rsidR="00927EF8" w:rsidRDefault="00927EF8" w:rsidP="00586EA9">
      <w:pPr>
        <w:spacing w:after="0" w:line="240" w:lineRule="auto"/>
        <w:jc w:val="both"/>
        <w:rPr>
          <w:rFonts w:ascii="Arial" w:hAnsi="Arial" w:cs="Arial"/>
        </w:rPr>
      </w:pPr>
    </w:p>
    <w:p w14:paraId="7498F3EC" w14:textId="1C850A82" w:rsidR="00C93947" w:rsidRDefault="006F4873" w:rsidP="00586EA9">
      <w:pPr>
        <w:spacing w:after="0" w:line="240" w:lineRule="auto"/>
        <w:jc w:val="both"/>
        <w:rPr>
          <w:rFonts w:ascii="Arial" w:eastAsia="Times New Roman" w:hAnsi="Arial" w:cs="Arial"/>
          <w:color w:val="000000"/>
          <w:lang w:val="es-ES" w:eastAsia="es-ES"/>
        </w:rPr>
      </w:pPr>
      <w:r w:rsidRPr="00512F17">
        <w:rPr>
          <w:rFonts w:ascii="Arial" w:eastAsia="Times New Roman" w:hAnsi="Arial" w:cs="Arial"/>
          <w:color w:val="000000"/>
          <w:lang w:val="es-ES" w:eastAsia="es-ES"/>
        </w:rPr>
        <w:t>Emitir</w:t>
      </w:r>
      <w:r w:rsidR="00C93947" w:rsidRPr="00512F17">
        <w:rPr>
          <w:rFonts w:ascii="Arial" w:eastAsia="Times New Roman" w:hAnsi="Arial" w:cs="Arial"/>
          <w:color w:val="000000"/>
          <w:lang w:val="es-ES" w:eastAsia="es-ES"/>
        </w:rPr>
        <w:t xml:space="preserve"> concepto de viabilidad </w:t>
      </w:r>
      <w:r w:rsidR="00BB6E2F" w:rsidRPr="00512F17">
        <w:rPr>
          <w:rFonts w:ascii="Arial" w:eastAsia="Times New Roman" w:hAnsi="Arial" w:cs="Arial"/>
          <w:color w:val="000000"/>
          <w:lang w:val="es-ES" w:eastAsia="es-ES"/>
        </w:rPr>
        <w:t xml:space="preserve">de </w:t>
      </w:r>
      <w:r w:rsidR="00430B7B" w:rsidRPr="00512F17">
        <w:rPr>
          <w:rFonts w:ascii="Arial" w:eastAsia="Times New Roman" w:hAnsi="Arial" w:cs="Arial"/>
          <w:color w:val="000000"/>
          <w:lang w:val="es-ES" w:eastAsia="es-ES"/>
        </w:rPr>
        <w:t>precios de referencia y</w:t>
      </w:r>
      <w:r w:rsidR="00C93947" w:rsidRPr="00512F17">
        <w:rPr>
          <w:rFonts w:ascii="Arial" w:eastAsia="Times New Roman" w:hAnsi="Arial" w:cs="Arial"/>
          <w:color w:val="000000"/>
          <w:lang w:val="es-ES" w:eastAsia="es-ES"/>
        </w:rPr>
        <w:t xml:space="preserve"> metodología</w:t>
      </w:r>
      <w:r w:rsidR="00430B7B" w:rsidRPr="00512F17">
        <w:rPr>
          <w:rFonts w:ascii="Arial" w:eastAsia="Times New Roman" w:hAnsi="Arial" w:cs="Arial"/>
          <w:color w:val="000000"/>
          <w:lang w:val="es-ES" w:eastAsia="es-ES"/>
        </w:rPr>
        <w:t>s</w:t>
      </w:r>
      <w:r w:rsidR="00C93947" w:rsidRPr="00512F17">
        <w:rPr>
          <w:rFonts w:ascii="Arial" w:eastAsia="Times New Roman" w:hAnsi="Arial" w:cs="Arial"/>
          <w:color w:val="000000"/>
          <w:lang w:val="es-ES" w:eastAsia="es-ES"/>
        </w:rPr>
        <w:t xml:space="preserve"> de costo cupo </w:t>
      </w:r>
      <w:r w:rsidR="00430B7B" w:rsidRPr="00512F17">
        <w:rPr>
          <w:rFonts w:ascii="Arial" w:eastAsia="Times New Roman" w:hAnsi="Arial" w:cs="Arial"/>
          <w:color w:val="000000"/>
          <w:lang w:val="es-ES" w:eastAsia="es-ES"/>
        </w:rPr>
        <w:t>para la</w:t>
      </w:r>
      <w:r w:rsidR="0079239F" w:rsidRPr="00512F17">
        <w:rPr>
          <w:rFonts w:ascii="Arial" w:eastAsia="Times New Roman" w:hAnsi="Arial" w:cs="Arial"/>
          <w:color w:val="000000"/>
          <w:lang w:val="es-ES" w:eastAsia="es-ES"/>
        </w:rPr>
        <w:t xml:space="preserve"> </w:t>
      </w:r>
      <w:r w:rsidR="0072489E" w:rsidRPr="00512F17">
        <w:rPr>
          <w:rFonts w:ascii="Arial" w:eastAsia="Times New Roman" w:hAnsi="Arial" w:cs="Arial"/>
          <w:color w:val="000000"/>
          <w:lang w:val="es-ES" w:eastAsia="es-ES"/>
        </w:rPr>
        <w:t>adquisición</w:t>
      </w:r>
      <w:r w:rsidR="00C93947" w:rsidRPr="00512F17">
        <w:rPr>
          <w:rFonts w:ascii="Arial" w:eastAsia="Times New Roman" w:hAnsi="Arial" w:cs="Arial"/>
          <w:color w:val="000000"/>
          <w:lang w:val="es-ES" w:eastAsia="es-ES"/>
        </w:rPr>
        <w:t xml:space="preserve"> de bienes y servicios </w:t>
      </w:r>
      <w:r w:rsidR="0072489E" w:rsidRPr="00512F17">
        <w:rPr>
          <w:rFonts w:ascii="Arial" w:eastAsia="Times New Roman" w:hAnsi="Arial" w:cs="Arial"/>
          <w:color w:val="000000"/>
          <w:lang w:val="es-ES" w:eastAsia="es-ES"/>
        </w:rPr>
        <w:t xml:space="preserve">con recursos de inversión </w:t>
      </w:r>
      <w:r w:rsidR="00C93947" w:rsidRPr="00512F17">
        <w:rPr>
          <w:rFonts w:ascii="Arial" w:eastAsia="Times New Roman" w:hAnsi="Arial" w:cs="Arial"/>
          <w:color w:val="000000"/>
          <w:lang w:val="es-ES" w:eastAsia="es-ES"/>
        </w:rPr>
        <w:t>de</w:t>
      </w:r>
      <w:r w:rsidR="0079239F" w:rsidRPr="00512F17">
        <w:rPr>
          <w:rFonts w:ascii="Arial" w:eastAsia="Times New Roman" w:hAnsi="Arial" w:cs="Arial"/>
          <w:color w:val="000000"/>
          <w:lang w:val="es-ES" w:eastAsia="es-ES"/>
        </w:rPr>
        <w:t xml:space="preserve"> </w:t>
      </w:r>
      <w:r w:rsidR="00C93947" w:rsidRPr="00512F17">
        <w:rPr>
          <w:rFonts w:ascii="Arial" w:eastAsia="Times New Roman" w:hAnsi="Arial" w:cs="Arial"/>
          <w:color w:val="000000"/>
          <w:lang w:val="es-ES" w:eastAsia="es-ES"/>
        </w:rPr>
        <w:t xml:space="preserve">la Secretaría </w:t>
      </w:r>
      <w:r w:rsidR="00512F17">
        <w:rPr>
          <w:rFonts w:ascii="Arial" w:eastAsia="Times New Roman" w:hAnsi="Arial" w:cs="Arial"/>
          <w:color w:val="000000"/>
          <w:lang w:val="es-ES" w:eastAsia="es-ES"/>
        </w:rPr>
        <w:t>Distrital de Integración Social</w:t>
      </w:r>
      <w:r w:rsidR="0072489E" w:rsidRPr="00512F17">
        <w:rPr>
          <w:rFonts w:ascii="Arial" w:eastAsia="Times New Roman" w:hAnsi="Arial" w:cs="Arial"/>
          <w:color w:val="000000"/>
          <w:lang w:val="es-ES" w:eastAsia="es-ES"/>
        </w:rPr>
        <w:t>.</w:t>
      </w:r>
    </w:p>
    <w:p w14:paraId="36F0CF5B" w14:textId="4E23B58B" w:rsidR="00256AF0" w:rsidRDefault="00256AF0" w:rsidP="00586EA9">
      <w:pPr>
        <w:spacing w:after="0" w:line="240" w:lineRule="auto"/>
        <w:jc w:val="both"/>
        <w:rPr>
          <w:rFonts w:ascii="Arial" w:eastAsia="Times New Roman" w:hAnsi="Arial" w:cs="Arial"/>
          <w:color w:val="000000"/>
          <w:lang w:val="es-ES" w:eastAsia="es-ES"/>
        </w:rPr>
      </w:pPr>
    </w:p>
    <w:p w14:paraId="4AF8867D" w14:textId="77777777" w:rsidR="00A34809" w:rsidRPr="00512F17" w:rsidRDefault="00A34809" w:rsidP="00586EA9">
      <w:pPr>
        <w:spacing w:after="0" w:line="240" w:lineRule="auto"/>
        <w:jc w:val="both"/>
        <w:rPr>
          <w:rFonts w:ascii="Arial" w:eastAsia="Times New Roman" w:hAnsi="Arial" w:cs="Arial"/>
          <w:color w:val="000000"/>
          <w:lang w:val="es-ES" w:eastAsia="es-ES"/>
        </w:rPr>
      </w:pPr>
    </w:p>
    <w:p w14:paraId="2AD29E32" w14:textId="304264B6" w:rsidR="00927EF8" w:rsidRPr="005D46AA" w:rsidRDefault="00430B7B" w:rsidP="00586EA9">
      <w:pPr>
        <w:pStyle w:val="Prrafodelista"/>
        <w:numPr>
          <w:ilvl w:val="0"/>
          <w:numId w:val="11"/>
        </w:numPr>
        <w:spacing w:after="0" w:line="240" w:lineRule="auto"/>
        <w:jc w:val="both"/>
        <w:rPr>
          <w:rFonts w:ascii="Arial" w:hAnsi="Arial" w:cs="Arial"/>
          <w:bCs/>
        </w:rPr>
      </w:pPr>
      <w:r w:rsidRPr="005D46AA">
        <w:rPr>
          <w:rFonts w:ascii="Arial" w:hAnsi="Arial" w:cs="Arial"/>
          <w:bCs/>
        </w:rPr>
        <w:t>G</w:t>
      </w:r>
      <w:r w:rsidR="00927EF8" w:rsidRPr="005D46AA">
        <w:rPr>
          <w:rFonts w:ascii="Arial" w:hAnsi="Arial" w:cs="Arial"/>
          <w:bCs/>
        </w:rPr>
        <w:t>losario</w:t>
      </w:r>
    </w:p>
    <w:p w14:paraId="7E1E5934" w14:textId="1B499BAE" w:rsidR="00124F7D" w:rsidRDefault="00124F7D" w:rsidP="00586EA9">
      <w:pPr>
        <w:spacing w:after="0" w:line="240" w:lineRule="auto"/>
        <w:jc w:val="both"/>
        <w:rPr>
          <w:rFonts w:ascii="Arial" w:hAnsi="Arial" w:cs="Arial"/>
          <w:b/>
          <w:bCs/>
        </w:rPr>
      </w:pPr>
    </w:p>
    <w:p w14:paraId="7438DED8" w14:textId="1AB238BC" w:rsidR="00124F7D" w:rsidRPr="00262E97" w:rsidRDefault="00262E97" w:rsidP="00586EA9">
      <w:pPr>
        <w:pStyle w:val="Prrafodelista"/>
        <w:numPr>
          <w:ilvl w:val="0"/>
          <w:numId w:val="18"/>
        </w:numPr>
        <w:spacing w:after="0" w:line="240" w:lineRule="auto"/>
        <w:jc w:val="both"/>
        <w:rPr>
          <w:rFonts w:ascii="Arial" w:hAnsi="Arial" w:cs="Arial"/>
          <w:bCs/>
        </w:rPr>
      </w:pPr>
      <w:r w:rsidRPr="00586EA9">
        <w:rPr>
          <w:rFonts w:ascii="Arial" w:hAnsi="Arial" w:cs="Arial"/>
          <w:bCs/>
        </w:rPr>
        <w:t xml:space="preserve">Administración, Imprevistos, Utilidad, </w:t>
      </w:r>
      <w:r>
        <w:rPr>
          <w:rFonts w:ascii="Arial" w:hAnsi="Arial" w:cs="Arial"/>
          <w:bCs/>
        </w:rPr>
        <w:t>(</w:t>
      </w:r>
      <w:r w:rsidR="00124F7D" w:rsidRPr="000C4E53">
        <w:rPr>
          <w:rFonts w:ascii="Arial" w:hAnsi="Arial" w:cs="Arial"/>
          <w:bCs/>
        </w:rPr>
        <w:t>A.I.U</w:t>
      </w:r>
      <w:r>
        <w:rPr>
          <w:rFonts w:ascii="Arial" w:hAnsi="Arial" w:cs="Arial"/>
          <w:bCs/>
        </w:rPr>
        <w:t>)</w:t>
      </w:r>
      <w:r w:rsidR="00124F7D" w:rsidRPr="000C4E53">
        <w:rPr>
          <w:rFonts w:ascii="Arial" w:hAnsi="Arial" w:cs="Arial"/>
          <w:bCs/>
        </w:rPr>
        <w:t>:</w:t>
      </w:r>
      <w:r w:rsidR="00124F7D" w:rsidRPr="00586EA9">
        <w:rPr>
          <w:rFonts w:ascii="Arial" w:hAnsi="Arial" w:cs="Arial"/>
          <w:bCs/>
        </w:rPr>
        <w:t xml:space="preserve"> constituyendo cada una de ellas una parte específica de los costos en la ejecución de un contrato:</w:t>
      </w:r>
    </w:p>
    <w:p w14:paraId="44CA0220" w14:textId="765353A2" w:rsidR="00124F7D" w:rsidRPr="00512F17" w:rsidRDefault="00124F7D" w:rsidP="00586EA9">
      <w:pPr>
        <w:pStyle w:val="Prrafodelista"/>
        <w:numPr>
          <w:ilvl w:val="0"/>
          <w:numId w:val="17"/>
        </w:numPr>
        <w:spacing w:after="0" w:line="240" w:lineRule="auto"/>
        <w:jc w:val="both"/>
        <w:rPr>
          <w:rFonts w:ascii="Arial" w:hAnsi="Arial" w:cs="Arial"/>
          <w:bCs/>
        </w:rPr>
      </w:pPr>
      <w:r w:rsidRPr="00512F17">
        <w:rPr>
          <w:rFonts w:ascii="Arial" w:hAnsi="Arial" w:cs="Arial"/>
          <w:bCs/>
        </w:rPr>
        <w:t xml:space="preserve">La </w:t>
      </w:r>
      <w:r w:rsidR="00586EA9" w:rsidRPr="00512F17">
        <w:rPr>
          <w:rFonts w:ascii="Arial" w:hAnsi="Arial" w:cs="Arial"/>
          <w:bCs/>
        </w:rPr>
        <w:t xml:space="preserve">administración </w:t>
      </w:r>
      <w:r w:rsidRPr="00512F17">
        <w:rPr>
          <w:rFonts w:ascii="Arial" w:hAnsi="Arial" w:cs="Arial"/>
          <w:bCs/>
        </w:rPr>
        <w:t>representa los costos indirectos indispensables para la correcta ejecución del proyecto, y que se necesitan de manera permanente en el desarrollo del mismo; tal es el caso de los honorarios, los impuestos, los arrendamientos, los costos de personal, entre otros.</w:t>
      </w:r>
    </w:p>
    <w:p w14:paraId="14C050A2" w14:textId="42FD1017" w:rsidR="00124F7D" w:rsidRPr="00512F17" w:rsidRDefault="00124F7D" w:rsidP="00586EA9">
      <w:pPr>
        <w:pStyle w:val="Prrafodelista"/>
        <w:numPr>
          <w:ilvl w:val="0"/>
          <w:numId w:val="17"/>
        </w:numPr>
        <w:spacing w:after="0" w:line="240" w:lineRule="auto"/>
        <w:jc w:val="both"/>
        <w:rPr>
          <w:rFonts w:ascii="Arial" w:hAnsi="Arial" w:cs="Arial"/>
          <w:bCs/>
        </w:rPr>
      </w:pPr>
      <w:r w:rsidRPr="00512F17">
        <w:rPr>
          <w:rFonts w:ascii="Arial" w:hAnsi="Arial" w:cs="Arial"/>
          <w:bCs/>
        </w:rPr>
        <w:t xml:space="preserve">Los </w:t>
      </w:r>
      <w:r w:rsidR="00586EA9" w:rsidRPr="00512F17">
        <w:rPr>
          <w:rFonts w:ascii="Arial" w:hAnsi="Arial" w:cs="Arial"/>
          <w:bCs/>
        </w:rPr>
        <w:t xml:space="preserve">imprevistos </w:t>
      </w:r>
      <w:r w:rsidRPr="00512F17">
        <w:rPr>
          <w:rFonts w:ascii="Arial" w:hAnsi="Arial" w:cs="Arial"/>
          <w:bCs/>
        </w:rPr>
        <w:t>son un valor presupuestado con el fin de cubrir posibles sobrecostos que se le puedan generar al contratista, durante la ejecución del proyecto; es necesario señalar, que dichos imprevistos hacen parte del riesgo normal de cada contrato.</w:t>
      </w:r>
    </w:p>
    <w:p w14:paraId="71E6202D" w14:textId="14F0D22A" w:rsidR="00124F7D" w:rsidRPr="00512F17" w:rsidRDefault="00124F7D" w:rsidP="00586EA9">
      <w:pPr>
        <w:pStyle w:val="Prrafodelista"/>
        <w:numPr>
          <w:ilvl w:val="0"/>
          <w:numId w:val="17"/>
        </w:numPr>
        <w:spacing w:after="0" w:line="240" w:lineRule="auto"/>
        <w:jc w:val="both"/>
        <w:rPr>
          <w:rFonts w:ascii="Arial" w:hAnsi="Arial" w:cs="Arial"/>
          <w:bCs/>
        </w:rPr>
      </w:pPr>
      <w:r w:rsidRPr="00512F17">
        <w:rPr>
          <w:rFonts w:ascii="Arial" w:hAnsi="Arial" w:cs="Arial"/>
          <w:bCs/>
        </w:rPr>
        <w:t xml:space="preserve">La </w:t>
      </w:r>
      <w:r w:rsidR="00586EA9" w:rsidRPr="00512F17">
        <w:rPr>
          <w:rFonts w:ascii="Arial" w:hAnsi="Arial" w:cs="Arial"/>
          <w:bCs/>
        </w:rPr>
        <w:t xml:space="preserve">utilidad </w:t>
      </w:r>
      <w:r w:rsidRPr="00512F17">
        <w:rPr>
          <w:rFonts w:ascii="Arial" w:hAnsi="Arial" w:cs="Arial"/>
          <w:bCs/>
        </w:rPr>
        <w:t>representa la ganancia que espera obtener el contratista por el cumplimiento de sus obligaciones en la ejecución del proyecto.</w:t>
      </w:r>
    </w:p>
    <w:p w14:paraId="6D0BA892" w14:textId="77777777" w:rsidR="000867D1" w:rsidRDefault="000867D1" w:rsidP="00586EA9">
      <w:pPr>
        <w:pStyle w:val="Sangradetextonormal"/>
        <w:ind w:right="-29" w:hanging="708"/>
        <w:rPr>
          <w:rFonts w:ascii="Arial" w:hAnsi="Arial" w:cs="Arial"/>
          <w:color w:val="auto"/>
          <w:szCs w:val="22"/>
        </w:rPr>
      </w:pPr>
    </w:p>
    <w:p w14:paraId="734EE305" w14:textId="21B59BA9" w:rsidR="00F94D9A" w:rsidRPr="005D46AA" w:rsidRDefault="00974CEF" w:rsidP="00586EA9">
      <w:pPr>
        <w:pStyle w:val="Sangradetextonormal"/>
        <w:numPr>
          <w:ilvl w:val="0"/>
          <w:numId w:val="18"/>
        </w:numPr>
        <w:ind w:right="-29"/>
        <w:rPr>
          <w:rFonts w:ascii="Arial" w:hAnsi="Arial" w:cs="Arial"/>
        </w:rPr>
      </w:pPr>
      <w:r w:rsidRPr="005D46AA">
        <w:rPr>
          <w:rFonts w:ascii="Arial" w:hAnsi="Arial" w:cs="Arial"/>
          <w:bCs/>
        </w:rPr>
        <w:t xml:space="preserve">Anexo </w:t>
      </w:r>
      <w:r w:rsidR="00DE6CDE" w:rsidRPr="005D46AA">
        <w:rPr>
          <w:rFonts w:ascii="Arial" w:hAnsi="Arial" w:cs="Arial"/>
          <w:bCs/>
        </w:rPr>
        <w:t>t</w:t>
      </w:r>
      <w:r w:rsidRPr="005D46AA">
        <w:rPr>
          <w:rFonts w:ascii="Arial" w:hAnsi="Arial" w:cs="Arial"/>
          <w:bCs/>
        </w:rPr>
        <w:t>écnico</w:t>
      </w:r>
      <w:r w:rsidR="00430DD7" w:rsidRPr="00D11407">
        <w:rPr>
          <w:rStyle w:val="Refdenotaalpie"/>
          <w:rFonts w:ascii="Arial" w:hAnsi="Arial" w:cs="Arial"/>
          <w:color w:val="auto"/>
          <w:szCs w:val="22"/>
        </w:rPr>
        <w:footnoteReference w:id="1"/>
      </w:r>
      <w:r w:rsidRPr="005D46AA">
        <w:rPr>
          <w:rFonts w:ascii="Arial" w:hAnsi="Arial" w:cs="Arial"/>
          <w:bCs/>
        </w:rPr>
        <w:t xml:space="preserve">: </w:t>
      </w:r>
      <w:r w:rsidR="00586EA9" w:rsidRPr="005D46AA">
        <w:rPr>
          <w:rFonts w:ascii="Arial" w:hAnsi="Arial" w:cs="Arial"/>
        </w:rPr>
        <w:t xml:space="preserve">documento </w:t>
      </w:r>
      <w:r w:rsidR="00C22E45" w:rsidRPr="005D46AA">
        <w:rPr>
          <w:rFonts w:ascii="Arial" w:hAnsi="Arial" w:cs="Arial"/>
        </w:rPr>
        <w:t xml:space="preserve">que hace parte integral del estudio previo, cuyo contenido se relaciona con la </w:t>
      </w:r>
      <w:r w:rsidRPr="005D46AA">
        <w:rPr>
          <w:rFonts w:ascii="Arial" w:hAnsi="Arial" w:cs="Arial"/>
        </w:rPr>
        <w:t>descripción técnica de</w:t>
      </w:r>
      <w:r w:rsidR="00BB6E2F" w:rsidRPr="005D46AA">
        <w:rPr>
          <w:rFonts w:ascii="Arial" w:hAnsi="Arial" w:cs="Arial"/>
        </w:rPr>
        <w:t xml:space="preserve">l suministro o servicio a contratar, para satisfacer la necesidad de la </w:t>
      </w:r>
      <w:r w:rsidR="00262E97">
        <w:rPr>
          <w:rFonts w:ascii="Arial" w:hAnsi="Arial" w:cs="Arial"/>
        </w:rPr>
        <w:t>e</w:t>
      </w:r>
      <w:r w:rsidR="00BB6E2F" w:rsidRPr="005D46AA">
        <w:rPr>
          <w:rFonts w:ascii="Arial" w:hAnsi="Arial" w:cs="Arial"/>
        </w:rPr>
        <w:t>ntidad</w:t>
      </w:r>
      <w:r w:rsidR="006C79A6" w:rsidRPr="005D46AA">
        <w:rPr>
          <w:rFonts w:ascii="Arial" w:hAnsi="Arial" w:cs="Arial"/>
        </w:rPr>
        <w:t>.</w:t>
      </w:r>
    </w:p>
    <w:p w14:paraId="34682BEE" w14:textId="77777777" w:rsidR="00974CEF" w:rsidRPr="005D46AA" w:rsidRDefault="00974CEF" w:rsidP="00586EA9">
      <w:pPr>
        <w:pStyle w:val="Sangradetextonormal"/>
        <w:ind w:left="0" w:right="-29"/>
      </w:pPr>
    </w:p>
    <w:p w14:paraId="1B6A1FB5" w14:textId="6B4E2220" w:rsidR="00974CEF" w:rsidRPr="005D46AA" w:rsidRDefault="00974CEF" w:rsidP="00586EA9">
      <w:pPr>
        <w:pStyle w:val="Sangradetextonormal"/>
        <w:numPr>
          <w:ilvl w:val="0"/>
          <w:numId w:val="18"/>
        </w:numPr>
        <w:ind w:right="-29"/>
        <w:rPr>
          <w:rFonts w:ascii="Arial" w:hAnsi="Arial" w:cs="Arial"/>
        </w:rPr>
      </w:pPr>
      <w:r w:rsidRPr="005D46AA">
        <w:rPr>
          <w:rFonts w:ascii="Arial" w:hAnsi="Arial" w:cs="Arial"/>
          <w:bCs/>
        </w:rPr>
        <w:t xml:space="preserve">Aprobación: </w:t>
      </w:r>
      <w:r w:rsidR="00586EA9" w:rsidRPr="005D46AA">
        <w:rPr>
          <w:rFonts w:ascii="Arial" w:hAnsi="Arial" w:cs="Arial"/>
        </w:rPr>
        <w:t xml:space="preserve">es </w:t>
      </w:r>
      <w:r w:rsidRPr="005D46AA">
        <w:rPr>
          <w:rFonts w:ascii="Arial" w:hAnsi="Arial" w:cs="Arial"/>
        </w:rPr>
        <w:t xml:space="preserve">el consentimiento y aceptación de </w:t>
      </w:r>
      <w:r w:rsidR="00F60C72" w:rsidRPr="005D46AA">
        <w:rPr>
          <w:rFonts w:ascii="Arial" w:hAnsi="Arial" w:cs="Arial"/>
        </w:rPr>
        <w:t>los precios de referencia o</w:t>
      </w:r>
      <w:r w:rsidR="00A12EB5" w:rsidRPr="005D46AA">
        <w:rPr>
          <w:rFonts w:ascii="Arial" w:hAnsi="Arial" w:cs="Arial"/>
        </w:rPr>
        <w:t xml:space="preserve"> del </w:t>
      </w:r>
      <w:r w:rsidR="0018667B" w:rsidRPr="005D46AA">
        <w:rPr>
          <w:rFonts w:ascii="Arial" w:hAnsi="Arial" w:cs="Arial"/>
        </w:rPr>
        <w:t>instructivo</w:t>
      </w:r>
      <w:r w:rsidR="00A12EB5" w:rsidRPr="005D46AA">
        <w:rPr>
          <w:rFonts w:ascii="Arial" w:hAnsi="Arial" w:cs="Arial"/>
        </w:rPr>
        <w:t xml:space="preserve"> de </w:t>
      </w:r>
      <w:r w:rsidR="002B304A" w:rsidRPr="005D46AA">
        <w:rPr>
          <w:rFonts w:ascii="Arial" w:hAnsi="Arial" w:cs="Arial"/>
        </w:rPr>
        <w:t xml:space="preserve">metodología </w:t>
      </w:r>
      <w:r w:rsidR="00A12EB5" w:rsidRPr="005D46AA">
        <w:rPr>
          <w:rFonts w:ascii="Arial" w:hAnsi="Arial" w:cs="Arial"/>
        </w:rPr>
        <w:t>c</w:t>
      </w:r>
      <w:r w:rsidR="002B304A" w:rsidRPr="005D46AA">
        <w:rPr>
          <w:rFonts w:ascii="Arial" w:hAnsi="Arial" w:cs="Arial"/>
        </w:rPr>
        <w:t>osto cupo</w:t>
      </w:r>
      <w:r w:rsidR="0079239F" w:rsidRPr="005D46AA">
        <w:rPr>
          <w:rFonts w:ascii="Arial" w:hAnsi="Arial" w:cs="Arial"/>
        </w:rPr>
        <w:t xml:space="preserve"> </w:t>
      </w:r>
      <w:r w:rsidR="00BB6E2F" w:rsidRPr="005D46AA">
        <w:rPr>
          <w:rFonts w:ascii="Arial" w:hAnsi="Arial" w:cs="Arial"/>
        </w:rPr>
        <w:t xml:space="preserve">y/o listado de precios </w:t>
      </w:r>
      <w:r w:rsidRPr="005D46AA">
        <w:rPr>
          <w:rFonts w:ascii="Arial" w:hAnsi="Arial" w:cs="Arial"/>
        </w:rPr>
        <w:t xml:space="preserve">por parte del Gerente del Proyecto o </w:t>
      </w:r>
      <w:r w:rsidR="00262E97">
        <w:rPr>
          <w:rFonts w:ascii="Arial" w:hAnsi="Arial" w:cs="Arial"/>
        </w:rPr>
        <w:t>e</w:t>
      </w:r>
      <w:r w:rsidRPr="005D46AA">
        <w:rPr>
          <w:rFonts w:ascii="Arial" w:hAnsi="Arial" w:cs="Arial"/>
        </w:rPr>
        <w:t>l</w:t>
      </w:r>
      <w:r w:rsidR="00262E97">
        <w:rPr>
          <w:rFonts w:ascii="Arial" w:hAnsi="Arial" w:cs="Arial"/>
        </w:rPr>
        <w:t>(a)</w:t>
      </w:r>
      <w:r w:rsidRPr="005D46AA">
        <w:rPr>
          <w:rFonts w:ascii="Arial" w:hAnsi="Arial" w:cs="Arial"/>
        </w:rPr>
        <w:t xml:space="preserve"> Subdirector(a) Técnico(a), con el cual se indica que la </w:t>
      </w:r>
      <w:r w:rsidR="002B304A" w:rsidRPr="005D46AA">
        <w:rPr>
          <w:rFonts w:ascii="Arial" w:hAnsi="Arial" w:cs="Arial"/>
        </w:rPr>
        <w:t>solicitud</w:t>
      </w:r>
      <w:r w:rsidR="0079239F" w:rsidRPr="005D46AA">
        <w:rPr>
          <w:rFonts w:ascii="Arial" w:hAnsi="Arial" w:cs="Arial"/>
        </w:rPr>
        <w:t xml:space="preserve"> </w:t>
      </w:r>
      <w:r w:rsidRPr="005D46AA">
        <w:rPr>
          <w:rFonts w:ascii="Arial" w:hAnsi="Arial" w:cs="Arial"/>
        </w:rPr>
        <w:t>presentada se encuentra acord</w:t>
      </w:r>
      <w:r w:rsidR="0027100A" w:rsidRPr="005D46AA">
        <w:rPr>
          <w:rFonts w:ascii="Arial" w:hAnsi="Arial" w:cs="Arial"/>
        </w:rPr>
        <w:t xml:space="preserve">e con las </w:t>
      </w:r>
      <w:r w:rsidR="001E03EB" w:rsidRPr="005D46AA">
        <w:rPr>
          <w:rFonts w:ascii="Arial" w:hAnsi="Arial" w:cs="Arial"/>
        </w:rPr>
        <w:t xml:space="preserve">necesidades técnicas, </w:t>
      </w:r>
      <w:r w:rsidR="0027100A" w:rsidRPr="005D46AA">
        <w:rPr>
          <w:rFonts w:ascii="Arial" w:hAnsi="Arial" w:cs="Arial"/>
        </w:rPr>
        <w:t>financieras y legales</w:t>
      </w:r>
      <w:r w:rsidRPr="005D46AA">
        <w:rPr>
          <w:rFonts w:ascii="Arial" w:hAnsi="Arial" w:cs="Arial"/>
        </w:rPr>
        <w:t xml:space="preserve"> propias del servicio a prestar</w:t>
      </w:r>
      <w:r w:rsidR="00BB6E2F" w:rsidRPr="005D46AA">
        <w:rPr>
          <w:rFonts w:ascii="Arial" w:hAnsi="Arial" w:cs="Arial"/>
        </w:rPr>
        <w:t>,</w:t>
      </w:r>
      <w:r w:rsidRPr="005D46AA">
        <w:rPr>
          <w:rFonts w:ascii="Arial" w:hAnsi="Arial" w:cs="Arial"/>
        </w:rPr>
        <w:t xml:space="preserve"> </w:t>
      </w:r>
      <w:r w:rsidR="003D3A4E" w:rsidRPr="005D46AA">
        <w:rPr>
          <w:rFonts w:ascii="Arial" w:hAnsi="Arial" w:cs="Arial"/>
        </w:rPr>
        <w:t xml:space="preserve">o </w:t>
      </w:r>
      <w:r w:rsidR="00BB6E2F" w:rsidRPr="005D46AA">
        <w:rPr>
          <w:rFonts w:ascii="Arial" w:hAnsi="Arial" w:cs="Arial"/>
        </w:rPr>
        <w:t xml:space="preserve">del </w:t>
      </w:r>
      <w:r w:rsidR="003D3A4E" w:rsidRPr="005D46AA">
        <w:rPr>
          <w:rFonts w:ascii="Arial" w:hAnsi="Arial" w:cs="Arial"/>
        </w:rPr>
        <w:t xml:space="preserve">bien a adquirir, </w:t>
      </w:r>
      <w:r w:rsidRPr="005D46AA">
        <w:rPr>
          <w:rFonts w:ascii="Arial" w:hAnsi="Arial" w:cs="Arial"/>
        </w:rPr>
        <w:t>previamente identificadas y definidas por el proyecto</w:t>
      </w:r>
      <w:r w:rsidR="00C22E45" w:rsidRPr="005D46AA">
        <w:rPr>
          <w:rFonts w:ascii="Arial" w:hAnsi="Arial" w:cs="Arial"/>
        </w:rPr>
        <w:t xml:space="preserve"> de inversión.</w:t>
      </w:r>
    </w:p>
    <w:p w14:paraId="514F18DA" w14:textId="77777777" w:rsidR="00385988" w:rsidRPr="005D46AA" w:rsidRDefault="00385988" w:rsidP="00586EA9">
      <w:pPr>
        <w:pStyle w:val="Sangradetextonormal"/>
        <w:ind w:left="0" w:right="-29"/>
        <w:rPr>
          <w:rFonts w:ascii="Arial" w:hAnsi="Arial" w:cs="Arial"/>
        </w:rPr>
      </w:pPr>
    </w:p>
    <w:p w14:paraId="62794294" w14:textId="4138DE8E" w:rsidR="00974CEF" w:rsidRPr="005D46AA" w:rsidRDefault="006E108A" w:rsidP="00586EA9">
      <w:pPr>
        <w:pStyle w:val="Sangradetextonormal"/>
        <w:numPr>
          <w:ilvl w:val="0"/>
          <w:numId w:val="18"/>
        </w:numPr>
        <w:ind w:right="-29"/>
        <w:rPr>
          <w:rFonts w:ascii="Arial" w:hAnsi="Arial" w:cs="Arial"/>
        </w:rPr>
      </w:pPr>
      <w:r w:rsidRPr="005D46AA">
        <w:rPr>
          <w:rFonts w:ascii="Arial" w:hAnsi="Arial" w:cs="Arial"/>
          <w:bCs/>
        </w:rPr>
        <w:t>Elaboración</w:t>
      </w:r>
      <w:r w:rsidR="00974CEF" w:rsidRPr="005D46AA">
        <w:rPr>
          <w:rFonts w:ascii="Arial" w:hAnsi="Arial" w:cs="Arial"/>
          <w:bCs/>
        </w:rPr>
        <w:t xml:space="preserve">: </w:t>
      </w:r>
      <w:r w:rsidR="00586EA9" w:rsidRPr="005D46AA">
        <w:rPr>
          <w:rFonts w:ascii="Arial" w:hAnsi="Arial" w:cs="Arial"/>
        </w:rPr>
        <w:t xml:space="preserve">corresponde </w:t>
      </w:r>
      <w:r w:rsidR="00974CEF" w:rsidRPr="005D46AA">
        <w:rPr>
          <w:rFonts w:ascii="Arial" w:hAnsi="Arial" w:cs="Arial"/>
        </w:rPr>
        <w:t>a la actividad en la cual se identifican y se definen</w:t>
      </w:r>
      <w:r w:rsidR="0079239F" w:rsidRPr="005D46AA">
        <w:rPr>
          <w:rFonts w:ascii="Arial" w:hAnsi="Arial" w:cs="Arial"/>
        </w:rPr>
        <w:t xml:space="preserve"> </w:t>
      </w:r>
      <w:r w:rsidR="00974CEF" w:rsidRPr="005D46AA">
        <w:rPr>
          <w:rFonts w:ascii="Arial" w:hAnsi="Arial" w:cs="Arial"/>
        </w:rPr>
        <w:t>los</w:t>
      </w:r>
      <w:r w:rsidR="00262E97" w:rsidRPr="005D46AA">
        <w:rPr>
          <w:rFonts w:ascii="Arial" w:hAnsi="Arial" w:cs="Arial"/>
        </w:rPr>
        <w:t xml:space="preserve"> rubros y los precios del bien o servicio que se pretende adquirir, actividad realizada por parte del equipo técnico administrativo </w:t>
      </w:r>
      <w:r w:rsidR="00974CEF" w:rsidRPr="005D46AA">
        <w:rPr>
          <w:rFonts w:ascii="Arial" w:hAnsi="Arial" w:cs="Arial"/>
        </w:rPr>
        <w:t>de cada proyecto</w:t>
      </w:r>
      <w:r w:rsidR="00547818" w:rsidRPr="005D46AA">
        <w:rPr>
          <w:rFonts w:ascii="Arial" w:hAnsi="Arial" w:cs="Arial"/>
        </w:rPr>
        <w:t xml:space="preserve"> de inversión</w:t>
      </w:r>
      <w:r w:rsidR="00974CEF" w:rsidRPr="005D46AA">
        <w:rPr>
          <w:rFonts w:ascii="Arial" w:hAnsi="Arial" w:cs="Arial"/>
        </w:rPr>
        <w:t>.</w:t>
      </w:r>
    </w:p>
    <w:p w14:paraId="60FC0A5F" w14:textId="77777777" w:rsidR="00974CEF" w:rsidRPr="005D46AA" w:rsidRDefault="00974CEF" w:rsidP="00586EA9">
      <w:pPr>
        <w:pStyle w:val="Sangradetextonormal"/>
        <w:ind w:left="0" w:right="-29"/>
        <w:rPr>
          <w:rFonts w:ascii="Arial" w:hAnsi="Arial" w:cs="Arial"/>
        </w:rPr>
      </w:pPr>
    </w:p>
    <w:p w14:paraId="4026B9DA" w14:textId="2254691C" w:rsidR="00974CEF" w:rsidRPr="00A34809" w:rsidRDefault="006E108A" w:rsidP="00586EA9">
      <w:pPr>
        <w:pStyle w:val="Sangradetextonormal"/>
        <w:numPr>
          <w:ilvl w:val="0"/>
          <w:numId w:val="18"/>
        </w:numPr>
        <w:ind w:right="-29"/>
        <w:rPr>
          <w:rFonts w:ascii="Arial" w:hAnsi="Arial" w:cs="Arial"/>
        </w:rPr>
      </w:pPr>
      <w:r w:rsidRPr="005D46AA">
        <w:rPr>
          <w:rFonts w:ascii="Arial" w:hAnsi="Arial" w:cs="Arial"/>
          <w:bCs/>
        </w:rPr>
        <w:t>Revisión</w:t>
      </w:r>
      <w:r w:rsidR="00974CEF" w:rsidRPr="005D46AA">
        <w:rPr>
          <w:rFonts w:ascii="Arial" w:hAnsi="Arial" w:cs="Arial"/>
          <w:bCs/>
        </w:rPr>
        <w:t xml:space="preserve">: </w:t>
      </w:r>
      <w:r w:rsidR="00586EA9" w:rsidRPr="005D46AA">
        <w:rPr>
          <w:rFonts w:ascii="Arial" w:hAnsi="Arial" w:cs="Arial"/>
        </w:rPr>
        <w:t xml:space="preserve">es </w:t>
      </w:r>
      <w:r w:rsidR="00974CEF" w:rsidRPr="005D46AA">
        <w:rPr>
          <w:rFonts w:ascii="Arial" w:hAnsi="Arial" w:cs="Arial"/>
        </w:rPr>
        <w:t>la verificación de la aplicación de</w:t>
      </w:r>
      <w:r w:rsidR="006312F8" w:rsidRPr="005D46AA">
        <w:rPr>
          <w:rFonts w:ascii="Arial" w:hAnsi="Arial" w:cs="Arial"/>
        </w:rPr>
        <w:t xml:space="preserve">l </w:t>
      </w:r>
      <w:r w:rsidR="00B0354D" w:rsidRPr="005D46AA">
        <w:rPr>
          <w:rFonts w:ascii="Arial" w:hAnsi="Arial" w:cs="Arial"/>
        </w:rPr>
        <w:t>presente</w:t>
      </w:r>
      <w:r w:rsidR="00226028" w:rsidRPr="005D46AA">
        <w:rPr>
          <w:rFonts w:ascii="Arial" w:hAnsi="Arial" w:cs="Arial"/>
        </w:rPr>
        <w:t xml:space="preserve"> procedimiento, </w:t>
      </w:r>
      <w:r w:rsidR="00974CEF" w:rsidRPr="00A34809">
        <w:rPr>
          <w:rFonts w:ascii="Arial" w:hAnsi="Arial" w:cs="Arial"/>
        </w:rPr>
        <w:t>los lineamientos</w:t>
      </w:r>
      <w:r w:rsidR="007756B2" w:rsidRPr="00A34809">
        <w:rPr>
          <w:rFonts w:ascii="Arial" w:hAnsi="Arial" w:cs="Arial"/>
        </w:rPr>
        <w:t>,</w:t>
      </w:r>
      <w:r w:rsidR="00F60C72" w:rsidRPr="00A34809">
        <w:rPr>
          <w:rFonts w:ascii="Arial" w:hAnsi="Arial" w:cs="Arial"/>
        </w:rPr>
        <w:t xml:space="preserve"> instructivos y</w:t>
      </w:r>
      <w:r w:rsidR="007756B2" w:rsidRPr="00A34809">
        <w:rPr>
          <w:rFonts w:ascii="Arial" w:hAnsi="Arial" w:cs="Arial"/>
        </w:rPr>
        <w:t xml:space="preserve"> formatos </w:t>
      </w:r>
      <w:r w:rsidR="00F60C72" w:rsidRPr="00A34809">
        <w:rPr>
          <w:rFonts w:ascii="Arial" w:hAnsi="Arial" w:cs="Arial"/>
        </w:rPr>
        <w:t xml:space="preserve">para la </w:t>
      </w:r>
      <w:r w:rsidR="005C3506" w:rsidRPr="00A34809">
        <w:rPr>
          <w:rFonts w:ascii="Arial" w:hAnsi="Arial" w:cs="Arial"/>
        </w:rPr>
        <w:t>viabilidad</w:t>
      </w:r>
      <w:r w:rsidR="00F60C72" w:rsidRPr="00A34809">
        <w:rPr>
          <w:rFonts w:ascii="Arial" w:hAnsi="Arial" w:cs="Arial"/>
        </w:rPr>
        <w:t xml:space="preserve"> de precios de referencia</w:t>
      </w:r>
      <w:r w:rsidR="00457154" w:rsidRPr="00A34809">
        <w:rPr>
          <w:rFonts w:ascii="Arial" w:hAnsi="Arial" w:cs="Arial"/>
        </w:rPr>
        <w:t>.</w:t>
      </w:r>
      <w:r w:rsidR="00547818" w:rsidRPr="00A34809">
        <w:rPr>
          <w:rFonts w:ascii="Arial" w:hAnsi="Arial" w:cs="Arial"/>
        </w:rPr>
        <w:t xml:space="preserve"> Dicha verificación es realizada por</w:t>
      </w:r>
      <w:r w:rsidR="0079239F" w:rsidRPr="00A34809">
        <w:rPr>
          <w:rFonts w:ascii="Arial" w:hAnsi="Arial" w:cs="Arial"/>
        </w:rPr>
        <w:t xml:space="preserve"> </w:t>
      </w:r>
      <w:r w:rsidR="00EA3EF1" w:rsidRPr="00A34809">
        <w:rPr>
          <w:rFonts w:ascii="Arial" w:hAnsi="Arial" w:cs="Arial"/>
        </w:rPr>
        <w:t xml:space="preserve">la Subdirección de Diseño, Evaluación y Sistematización. </w:t>
      </w:r>
    </w:p>
    <w:p w14:paraId="28B4A3C8" w14:textId="77777777" w:rsidR="00DE6CDE" w:rsidRPr="005D46AA" w:rsidRDefault="00DE6CDE" w:rsidP="00586EA9">
      <w:pPr>
        <w:pStyle w:val="Sangradetextonormal"/>
        <w:ind w:left="0" w:right="-29"/>
        <w:rPr>
          <w:rFonts w:ascii="Arial" w:hAnsi="Arial" w:cs="Arial"/>
        </w:rPr>
      </w:pPr>
    </w:p>
    <w:p w14:paraId="34FC035A" w14:textId="2CC0930E" w:rsidR="00DE6CDE" w:rsidRPr="005D46AA" w:rsidRDefault="00DE6CDE" w:rsidP="00586EA9">
      <w:pPr>
        <w:pStyle w:val="Sangradetextonormal"/>
        <w:numPr>
          <w:ilvl w:val="0"/>
          <w:numId w:val="18"/>
        </w:numPr>
        <w:ind w:right="-29"/>
        <w:rPr>
          <w:rFonts w:ascii="Arial" w:hAnsi="Arial" w:cs="Arial"/>
          <w:bCs/>
        </w:rPr>
      </w:pPr>
      <w:r w:rsidRPr="005D46AA">
        <w:rPr>
          <w:rFonts w:ascii="Arial" w:hAnsi="Arial" w:cs="Arial"/>
          <w:bCs/>
        </w:rPr>
        <w:t xml:space="preserve">Concepto “Viabilidad de </w:t>
      </w:r>
      <w:r w:rsidR="00CC3DAA" w:rsidRPr="005D46AA">
        <w:rPr>
          <w:rFonts w:ascii="Arial" w:hAnsi="Arial" w:cs="Arial"/>
          <w:bCs/>
        </w:rPr>
        <w:t>precios de referencia</w:t>
      </w:r>
      <w:r w:rsidRPr="005D46AA">
        <w:rPr>
          <w:rFonts w:ascii="Arial" w:hAnsi="Arial" w:cs="Arial"/>
          <w:bCs/>
        </w:rPr>
        <w:t>”:</w:t>
      </w:r>
      <w:r w:rsidR="0079239F" w:rsidRPr="005D46AA">
        <w:rPr>
          <w:rFonts w:ascii="Arial" w:hAnsi="Arial" w:cs="Arial"/>
          <w:bCs/>
        </w:rPr>
        <w:t xml:space="preserve"> </w:t>
      </w:r>
      <w:r w:rsidR="00586EA9" w:rsidRPr="005D46AA">
        <w:rPr>
          <w:rFonts w:ascii="Arial" w:hAnsi="Arial" w:cs="Arial"/>
        </w:rPr>
        <w:t xml:space="preserve">es </w:t>
      </w:r>
      <w:r w:rsidRPr="005D46AA">
        <w:rPr>
          <w:rFonts w:ascii="Arial" w:hAnsi="Arial" w:cs="Arial"/>
        </w:rPr>
        <w:t>el</w:t>
      </w:r>
      <w:r w:rsidR="0079239F" w:rsidRPr="005D46AA">
        <w:rPr>
          <w:rFonts w:ascii="Arial" w:hAnsi="Arial" w:cs="Arial"/>
        </w:rPr>
        <w:t xml:space="preserve"> </w:t>
      </w:r>
      <w:r w:rsidR="00547818" w:rsidRPr="005D46AA">
        <w:rPr>
          <w:rFonts w:ascii="Arial" w:hAnsi="Arial" w:cs="Arial"/>
        </w:rPr>
        <w:t>c</w:t>
      </w:r>
      <w:r w:rsidRPr="005D46AA">
        <w:rPr>
          <w:rFonts w:ascii="Arial" w:hAnsi="Arial" w:cs="Arial"/>
        </w:rPr>
        <w:t xml:space="preserve">oncepto favorable </w:t>
      </w:r>
      <w:r w:rsidR="007756B2" w:rsidRPr="005D46AA">
        <w:rPr>
          <w:rFonts w:ascii="Arial" w:hAnsi="Arial" w:cs="Arial"/>
        </w:rPr>
        <w:t>sobre los precios de referencia presentados</w:t>
      </w:r>
      <w:r w:rsidR="00BB6E2F" w:rsidRPr="005D46AA">
        <w:rPr>
          <w:rFonts w:ascii="Arial" w:hAnsi="Arial" w:cs="Arial"/>
        </w:rPr>
        <w:t>, previa verificación de su coincidencia y/o correspondencia con los precios de mercado</w:t>
      </w:r>
      <w:r w:rsidR="00CC3DAA" w:rsidRPr="005D46AA">
        <w:rPr>
          <w:rFonts w:ascii="Arial" w:hAnsi="Arial" w:cs="Arial"/>
        </w:rPr>
        <w:t xml:space="preserve">, </w:t>
      </w:r>
      <w:r w:rsidR="003426DB" w:rsidRPr="005D46AA">
        <w:rPr>
          <w:rFonts w:ascii="Arial" w:hAnsi="Arial" w:cs="Arial"/>
        </w:rPr>
        <w:t>el cual es</w:t>
      </w:r>
      <w:r w:rsidR="0079239F" w:rsidRPr="005D46AA">
        <w:rPr>
          <w:rFonts w:ascii="Arial" w:hAnsi="Arial" w:cs="Arial"/>
        </w:rPr>
        <w:t xml:space="preserve"> </w:t>
      </w:r>
      <w:r w:rsidR="007756B2" w:rsidRPr="005D46AA">
        <w:rPr>
          <w:rFonts w:ascii="Arial" w:hAnsi="Arial" w:cs="Arial"/>
        </w:rPr>
        <w:t>emitido por el (la) Subdirector(a)</w:t>
      </w:r>
      <w:r w:rsidRPr="005D46AA">
        <w:rPr>
          <w:rFonts w:ascii="Arial" w:hAnsi="Arial" w:cs="Arial"/>
        </w:rPr>
        <w:t xml:space="preserve"> de Dise</w:t>
      </w:r>
      <w:r w:rsidR="00262E97">
        <w:rPr>
          <w:rFonts w:ascii="Arial" w:hAnsi="Arial" w:cs="Arial"/>
        </w:rPr>
        <w:t>ño Evaluación y Sistematización</w:t>
      </w:r>
      <w:r w:rsidRPr="005D46AA">
        <w:rPr>
          <w:rFonts w:ascii="Arial" w:hAnsi="Arial" w:cs="Arial"/>
        </w:rPr>
        <w:t xml:space="preserve">. Se aclara que la viabilidad no corresponde a la elaboración ni definición de </w:t>
      </w:r>
      <w:r w:rsidR="001F1E95" w:rsidRPr="005D46AA">
        <w:rPr>
          <w:rFonts w:ascii="Arial" w:hAnsi="Arial" w:cs="Arial"/>
        </w:rPr>
        <w:t>precios de referencia,</w:t>
      </w:r>
      <w:r w:rsidRPr="005D46AA">
        <w:rPr>
          <w:rFonts w:ascii="Arial" w:hAnsi="Arial" w:cs="Arial"/>
        </w:rPr>
        <w:t xml:space="preserve"> ni de los rubros que conforman </w:t>
      </w:r>
      <w:r w:rsidR="00CC3DAA" w:rsidRPr="005D46AA">
        <w:rPr>
          <w:rFonts w:ascii="Arial" w:hAnsi="Arial" w:cs="Arial"/>
        </w:rPr>
        <w:t>la metodología o la lista de precios,</w:t>
      </w:r>
      <w:r w:rsidRPr="005D46AA">
        <w:rPr>
          <w:rFonts w:ascii="Arial" w:hAnsi="Arial" w:cs="Arial"/>
        </w:rPr>
        <w:t xml:space="preserve"> </w:t>
      </w:r>
      <w:r w:rsidRPr="005D46AA">
        <w:rPr>
          <w:rFonts w:ascii="Arial" w:hAnsi="Arial" w:cs="Arial"/>
        </w:rPr>
        <w:lastRenderedPageBreak/>
        <w:t xml:space="preserve">dado que esto obedece al </w:t>
      </w:r>
      <w:r w:rsidR="00CC3DAA" w:rsidRPr="005D46AA">
        <w:rPr>
          <w:rFonts w:ascii="Arial" w:hAnsi="Arial" w:cs="Arial"/>
        </w:rPr>
        <w:t xml:space="preserve">gerente </w:t>
      </w:r>
      <w:r w:rsidR="0027100A" w:rsidRPr="005D46AA">
        <w:rPr>
          <w:rFonts w:ascii="Arial" w:hAnsi="Arial" w:cs="Arial"/>
        </w:rPr>
        <w:t xml:space="preserve">del </w:t>
      </w:r>
      <w:r w:rsidR="00CC3DAA" w:rsidRPr="005D46AA">
        <w:rPr>
          <w:rFonts w:ascii="Arial" w:hAnsi="Arial" w:cs="Arial"/>
        </w:rPr>
        <w:t xml:space="preserve">proyecto </w:t>
      </w:r>
      <w:r w:rsidR="0027100A" w:rsidRPr="005D46AA">
        <w:rPr>
          <w:rFonts w:ascii="Arial" w:hAnsi="Arial" w:cs="Arial"/>
        </w:rPr>
        <w:t xml:space="preserve">o </w:t>
      </w:r>
      <w:r w:rsidR="00CC3DAA" w:rsidRPr="005D46AA">
        <w:rPr>
          <w:rFonts w:ascii="Arial" w:hAnsi="Arial" w:cs="Arial"/>
        </w:rPr>
        <w:t>subdirector t</w:t>
      </w:r>
      <w:r w:rsidR="0027100A" w:rsidRPr="005D46AA">
        <w:rPr>
          <w:rFonts w:ascii="Arial" w:hAnsi="Arial" w:cs="Arial"/>
        </w:rPr>
        <w:t>écnico</w:t>
      </w:r>
      <w:r w:rsidRPr="005D46AA">
        <w:rPr>
          <w:rFonts w:ascii="Arial" w:hAnsi="Arial" w:cs="Arial"/>
        </w:rPr>
        <w:t xml:space="preserve"> y sus equipos técnicos - administrativos. Adicionalmente, la viabilidad no constituye viabilidad contractual</w:t>
      </w:r>
      <w:r w:rsidR="007756B2" w:rsidRPr="005D46AA">
        <w:rPr>
          <w:rFonts w:ascii="Arial" w:hAnsi="Arial" w:cs="Arial"/>
        </w:rPr>
        <w:t>, ni representa un plan de pagos.</w:t>
      </w:r>
    </w:p>
    <w:p w14:paraId="4319696A" w14:textId="77777777" w:rsidR="00974CEF" w:rsidRPr="005D46AA" w:rsidRDefault="00974CEF" w:rsidP="00586EA9">
      <w:pPr>
        <w:pStyle w:val="Sangradetextonormal"/>
        <w:ind w:left="0" w:right="-29"/>
        <w:rPr>
          <w:rFonts w:ascii="Arial" w:hAnsi="Arial" w:cs="Arial"/>
        </w:rPr>
      </w:pPr>
    </w:p>
    <w:p w14:paraId="40EDD98E" w14:textId="72EED29E" w:rsidR="00974CEF" w:rsidRPr="005D46AA" w:rsidRDefault="00DE6CDE" w:rsidP="00586EA9">
      <w:pPr>
        <w:pStyle w:val="Sangradetextonormal"/>
        <w:numPr>
          <w:ilvl w:val="0"/>
          <w:numId w:val="18"/>
        </w:numPr>
        <w:ind w:right="-29"/>
        <w:rPr>
          <w:rFonts w:ascii="Arial" w:hAnsi="Arial" w:cs="Arial"/>
        </w:rPr>
      </w:pPr>
      <w:r w:rsidRPr="005D46AA">
        <w:rPr>
          <w:rFonts w:ascii="Arial" w:hAnsi="Arial" w:cs="Arial"/>
          <w:bCs/>
        </w:rPr>
        <w:t xml:space="preserve">Costo: </w:t>
      </w:r>
      <w:r w:rsidR="001F1E95" w:rsidRPr="005D46AA">
        <w:rPr>
          <w:rFonts w:ascii="Arial" w:hAnsi="Arial" w:cs="Arial"/>
        </w:rPr>
        <w:t>es</w:t>
      </w:r>
      <w:r w:rsidRPr="005D46AA">
        <w:rPr>
          <w:rFonts w:ascii="Arial" w:hAnsi="Arial" w:cs="Arial"/>
        </w:rPr>
        <w:t xml:space="preserve"> el</w:t>
      </w:r>
      <w:r w:rsidR="00A96E0F">
        <w:rPr>
          <w:rFonts w:ascii="Arial" w:hAnsi="Arial" w:cs="Arial"/>
        </w:rPr>
        <w:t xml:space="preserve"> valor de</w:t>
      </w:r>
      <w:r w:rsidRPr="005D46AA">
        <w:rPr>
          <w:rFonts w:ascii="Arial" w:hAnsi="Arial" w:cs="Arial"/>
        </w:rPr>
        <w:t xml:space="preserve"> consumo de recursos (materias primas, mano de obra, costos indirectos, etc.) que se requieren para desarrollar actividades relacionadas con la producción de bienes o la prestación de servicios.</w:t>
      </w:r>
    </w:p>
    <w:p w14:paraId="7FBFF273" w14:textId="77777777" w:rsidR="00C42A68" w:rsidRPr="005D46AA" w:rsidRDefault="00C42A68" w:rsidP="00586EA9">
      <w:pPr>
        <w:pStyle w:val="Sangradetextonormal"/>
        <w:ind w:left="0" w:right="-29"/>
        <w:rPr>
          <w:rFonts w:ascii="Arial" w:hAnsi="Arial" w:cs="Arial"/>
        </w:rPr>
      </w:pPr>
    </w:p>
    <w:p w14:paraId="01C52C21" w14:textId="12891C15" w:rsidR="00C42A68" w:rsidRPr="005D46AA" w:rsidRDefault="00905A97" w:rsidP="00586EA9">
      <w:pPr>
        <w:pStyle w:val="Sangradetextonormal"/>
        <w:numPr>
          <w:ilvl w:val="0"/>
          <w:numId w:val="18"/>
        </w:numPr>
        <w:ind w:right="-29"/>
        <w:rPr>
          <w:rFonts w:ascii="Arial" w:hAnsi="Arial" w:cs="Arial"/>
        </w:rPr>
      </w:pPr>
      <w:r w:rsidRPr="005D46AA">
        <w:rPr>
          <w:rFonts w:ascii="Arial" w:hAnsi="Arial" w:cs="Arial"/>
          <w:bCs/>
          <w:color w:val="auto"/>
        </w:rPr>
        <w:t>Costo c</w:t>
      </w:r>
      <w:r w:rsidR="00C42A68" w:rsidRPr="005D46AA">
        <w:rPr>
          <w:rFonts w:ascii="Arial" w:hAnsi="Arial" w:cs="Arial"/>
          <w:bCs/>
          <w:color w:val="auto"/>
        </w:rPr>
        <w:t>upo</w:t>
      </w:r>
      <w:r w:rsidR="00C42A68" w:rsidRPr="005D46AA">
        <w:rPr>
          <w:rFonts w:ascii="Arial" w:hAnsi="Arial" w:cs="Arial"/>
          <w:color w:val="auto"/>
        </w:rPr>
        <w:t xml:space="preserve">: </w:t>
      </w:r>
      <w:r w:rsidR="00586EA9" w:rsidRPr="005D46AA">
        <w:rPr>
          <w:rFonts w:ascii="Arial" w:hAnsi="Arial" w:cs="Arial"/>
        </w:rPr>
        <w:t xml:space="preserve">es </w:t>
      </w:r>
      <w:r w:rsidR="00C93947" w:rsidRPr="005D46AA">
        <w:rPr>
          <w:rFonts w:ascii="Arial" w:hAnsi="Arial" w:cs="Arial"/>
        </w:rPr>
        <w:t>el costo por persona</w:t>
      </w:r>
      <w:r w:rsidR="0079239F" w:rsidRPr="005D46AA">
        <w:rPr>
          <w:rFonts w:ascii="Arial" w:hAnsi="Arial" w:cs="Arial"/>
        </w:rPr>
        <w:t xml:space="preserve"> </w:t>
      </w:r>
      <w:r w:rsidR="001F1E95" w:rsidRPr="005D46AA">
        <w:rPr>
          <w:rFonts w:ascii="Arial" w:hAnsi="Arial" w:cs="Arial"/>
        </w:rPr>
        <w:t xml:space="preserve">en un tiempo de referencia determinado </w:t>
      </w:r>
      <w:r w:rsidR="007756B2" w:rsidRPr="005D46AA">
        <w:rPr>
          <w:rFonts w:ascii="Arial" w:hAnsi="Arial" w:cs="Arial"/>
        </w:rPr>
        <w:t>(día, mes, año)</w:t>
      </w:r>
      <w:r w:rsidR="001F1E95" w:rsidRPr="005D46AA">
        <w:rPr>
          <w:rFonts w:ascii="Arial" w:hAnsi="Arial" w:cs="Arial"/>
        </w:rPr>
        <w:t>,</w:t>
      </w:r>
      <w:r w:rsidR="00C93947" w:rsidRPr="005D46AA">
        <w:rPr>
          <w:rFonts w:ascii="Arial" w:hAnsi="Arial" w:cs="Arial"/>
        </w:rPr>
        <w:t xml:space="preserve"> de acuerdo </w:t>
      </w:r>
      <w:r w:rsidR="007756B2" w:rsidRPr="005D46AA">
        <w:rPr>
          <w:rFonts w:ascii="Arial" w:hAnsi="Arial" w:cs="Arial"/>
        </w:rPr>
        <w:t xml:space="preserve">con </w:t>
      </w:r>
      <w:r w:rsidR="00C93947" w:rsidRPr="005D46AA">
        <w:rPr>
          <w:rFonts w:ascii="Arial" w:hAnsi="Arial" w:cs="Arial"/>
        </w:rPr>
        <w:t>las características del servicio. Un ser</w:t>
      </w:r>
      <w:r w:rsidRPr="005D46AA">
        <w:rPr>
          <w:rFonts w:ascii="Arial" w:hAnsi="Arial" w:cs="Arial"/>
        </w:rPr>
        <w:t xml:space="preserve">vicio puede tener varios costos </w:t>
      </w:r>
      <w:r w:rsidR="00C93947" w:rsidRPr="005D46AA">
        <w:rPr>
          <w:rFonts w:ascii="Arial" w:hAnsi="Arial" w:cs="Arial"/>
        </w:rPr>
        <w:t xml:space="preserve">cupo </w:t>
      </w:r>
      <w:r w:rsidR="006312F8" w:rsidRPr="005D46AA">
        <w:rPr>
          <w:rFonts w:ascii="Arial" w:hAnsi="Arial" w:cs="Arial"/>
        </w:rPr>
        <w:t>que depende</w:t>
      </w:r>
      <w:r w:rsidR="00CF6AE7" w:rsidRPr="005D46AA">
        <w:rPr>
          <w:rFonts w:ascii="Arial" w:hAnsi="Arial" w:cs="Arial"/>
        </w:rPr>
        <w:t>n</w:t>
      </w:r>
      <w:r w:rsidR="006312F8" w:rsidRPr="005D46AA">
        <w:rPr>
          <w:rFonts w:ascii="Arial" w:hAnsi="Arial" w:cs="Arial"/>
        </w:rPr>
        <w:t xml:space="preserve"> de la</w:t>
      </w:r>
      <w:r w:rsidR="00C93947" w:rsidRPr="005D46AA">
        <w:rPr>
          <w:rFonts w:ascii="Arial" w:hAnsi="Arial" w:cs="Arial"/>
        </w:rPr>
        <w:t xml:space="preserve"> cobertura, ubicación o particularidades </w:t>
      </w:r>
      <w:r w:rsidR="007826C5" w:rsidRPr="005D46AA">
        <w:rPr>
          <w:rFonts w:ascii="Arial" w:hAnsi="Arial" w:cs="Arial"/>
        </w:rPr>
        <w:t xml:space="preserve">de la población </w:t>
      </w:r>
      <w:r w:rsidR="00662EAE" w:rsidRPr="005D46AA">
        <w:rPr>
          <w:rFonts w:ascii="Arial" w:hAnsi="Arial" w:cs="Arial"/>
        </w:rPr>
        <w:t>beneficiaria</w:t>
      </w:r>
      <w:r w:rsidR="00C93947" w:rsidRPr="005D46AA">
        <w:rPr>
          <w:rFonts w:ascii="Arial" w:hAnsi="Arial" w:cs="Arial"/>
        </w:rPr>
        <w:t>.</w:t>
      </w:r>
    </w:p>
    <w:p w14:paraId="043A9554" w14:textId="77777777" w:rsidR="00974CEF" w:rsidRPr="005D46AA" w:rsidRDefault="00974CEF" w:rsidP="00586EA9">
      <w:pPr>
        <w:pStyle w:val="Sangradetextonormal"/>
        <w:ind w:left="0" w:right="-29"/>
        <w:rPr>
          <w:rFonts w:ascii="Arial" w:hAnsi="Arial" w:cs="Arial"/>
        </w:rPr>
      </w:pPr>
    </w:p>
    <w:p w14:paraId="567F78DB" w14:textId="5D8DF43C" w:rsidR="00BC6528" w:rsidRPr="000C4E53" w:rsidRDefault="00DE6CDE" w:rsidP="00586EA9">
      <w:pPr>
        <w:pStyle w:val="Sangradetextonormal"/>
        <w:numPr>
          <w:ilvl w:val="0"/>
          <w:numId w:val="18"/>
        </w:numPr>
        <w:ind w:right="-29"/>
        <w:rPr>
          <w:rFonts w:ascii="Arial" w:hAnsi="Arial" w:cs="Arial"/>
        </w:rPr>
      </w:pPr>
      <w:r w:rsidRPr="000C4E53">
        <w:rPr>
          <w:rFonts w:ascii="Arial" w:hAnsi="Arial" w:cs="Arial"/>
          <w:bCs/>
        </w:rPr>
        <w:t xml:space="preserve">Devolución: </w:t>
      </w:r>
      <w:r w:rsidR="00586EA9" w:rsidRPr="000C4E53">
        <w:rPr>
          <w:rFonts w:ascii="Arial" w:hAnsi="Arial" w:cs="Arial"/>
        </w:rPr>
        <w:t xml:space="preserve">entrega </w:t>
      </w:r>
      <w:r w:rsidR="001F1E95" w:rsidRPr="000C4E53">
        <w:rPr>
          <w:rFonts w:ascii="Arial" w:hAnsi="Arial" w:cs="Arial"/>
        </w:rPr>
        <w:t>los precios de referencia</w:t>
      </w:r>
      <w:r w:rsidR="00BB6E2F" w:rsidRPr="000C4E53">
        <w:rPr>
          <w:rFonts w:ascii="Arial" w:hAnsi="Arial" w:cs="Arial"/>
        </w:rPr>
        <w:t>,</w:t>
      </w:r>
      <w:r w:rsidR="001F1E95" w:rsidRPr="000C4E53">
        <w:rPr>
          <w:rFonts w:ascii="Arial" w:hAnsi="Arial" w:cs="Arial"/>
        </w:rPr>
        <w:t xml:space="preserve"> </w:t>
      </w:r>
      <w:r w:rsidR="00CC3DAA" w:rsidRPr="000C4E53">
        <w:rPr>
          <w:rFonts w:ascii="Arial" w:hAnsi="Arial" w:cs="Arial"/>
        </w:rPr>
        <w:t>metodología</w:t>
      </w:r>
      <w:r w:rsidR="004D0AE9" w:rsidRPr="000C4E53">
        <w:rPr>
          <w:rFonts w:ascii="Arial" w:hAnsi="Arial" w:cs="Arial"/>
        </w:rPr>
        <w:t xml:space="preserve"> de</w:t>
      </w:r>
      <w:r w:rsidR="00CC3DAA" w:rsidRPr="000C4E53">
        <w:rPr>
          <w:rFonts w:ascii="Arial" w:hAnsi="Arial" w:cs="Arial"/>
        </w:rPr>
        <w:t xml:space="preserve"> costo cupo </w:t>
      </w:r>
      <w:r w:rsidR="00BB6E2F" w:rsidRPr="000C4E53">
        <w:rPr>
          <w:rFonts w:ascii="Arial" w:hAnsi="Arial" w:cs="Arial"/>
        </w:rPr>
        <w:t xml:space="preserve">y/o lista de precios </w:t>
      </w:r>
      <w:r w:rsidR="001F1E95" w:rsidRPr="000C4E53">
        <w:rPr>
          <w:rFonts w:ascii="Arial" w:hAnsi="Arial" w:cs="Arial"/>
        </w:rPr>
        <w:t>c</w:t>
      </w:r>
      <w:r w:rsidR="00773EC3" w:rsidRPr="000C4E53">
        <w:rPr>
          <w:rFonts w:ascii="Arial" w:hAnsi="Arial" w:cs="Arial"/>
        </w:rPr>
        <w:t>on observaciones</w:t>
      </w:r>
      <w:r w:rsidR="00547818" w:rsidRPr="000C4E53">
        <w:rPr>
          <w:rFonts w:ascii="Arial" w:hAnsi="Arial" w:cs="Arial"/>
        </w:rPr>
        <w:t xml:space="preserve">, por parte de la Subdirección de Diseño Evaluación y Sistematización </w:t>
      </w:r>
      <w:r w:rsidRPr="000C4E53">
        <w:rPr>
          <w:rFonts w:ascii="Arial" w:hAnsi="Arial" w:cs="Arial"/>
        </w:rPr>
        <w:t>al equipo técnico</w:t>
      </w:r>
      <w:r w:rsidR="00262E97">
        <w:rPr>
          <w:rFonts w:ascii="Arial" w:hAnsi="Arial" w:cs="Arial"/>
        </w:rPr>
        <w:t xml:space="preserve"> </w:t>
      </w:r>
      <w:r w:rsidRPr="000C4E53">
        <w:rPr>
          <w:rFonts w:ascii="Arial" w:hAnsi="Arial" w:cs="Arial"/>
        </w:rPr>
        <w:t>-</w:t>
      </w:r>
      <w:r w:rsidR="00262E97">
        <w:rPr>
          <w:rFonts w:ascii="Arial" w:hAnsi="Arial" w:cs="Arial"/>
        </w:rPr>
        <w:t xml:space="preserve"> </w:t>
      </w:r>
      <w:r w:rsidRPr="000C4E53">
        <w:rPr>
          <w:rFonts w:ascii="Arial" w:hAnsi="Arial" w:cs="Arial"/>
        </w:rPr>
        <w:t>administrativo de cada proyecto, teniendo en cuenta que esta</w:t>
      </w:r>
      <w:r w:rsidR="00BB6E2F" w:rsidRPr="000C4E53">
        <w:rPr>
          <w:rFonts w:ascii="Arial" w:hAnsi="Arial" w:cs="Arial"/>
        </w:rPr>
        <w:t xml:space="preserve"> (s)</w:t>
      </w:r>
      <w:r w:rsidRPr="000C4E53">
        <w:rPr>
          <w:rFonts w:ascii="Arial" w:hAnsi="Arial" w:cs="Arial"/>
        </w:rPr>
        <w:t xml:space="preserve"> no cumple</w:t>
      </w:r>
      <w:r w:rsidR="00BB6E2F" w:rsidRPr="000C4E53">
        <w:rPr>
          <w:rFonts w:ascii="Arial" w:hAnsi="Arial" w:cs="Arial"/>
        </w:rPr>
        <w:t xml:space="preserve">(n) </w:t>
      </w:r>
      <w:r w:rsidRPr="000C4E53">
        <w:rPr>
          <w:rFonts w:ascii="Arial" w:hAnsi="Arial" w:cs="Arial"/>
        </w:rPr>
        <w:t xml:space="preserve">con </w:t>
      </w:r>
      <w:r w:rsidR="00B56327" w:rsidRPr="000C4E53">
        <w:rPr>
          <w:rFonts w:ascii="Arial" w:hAnsi="Arial" w:cs="Arial"/>
        </w:rPr>
        <w:t>el</w:t>
      </w:r>
      <w:r w:rsidR="00B0354D" w:rsidRPr="000C4E53">
        <w:rPr>
          <w:rFonts w:ascii="Arial" w:hAnsi="Arial" w:cs="Arial"/>
        </w:rPr>
        <w:t xml:space="preserve"> presente</w:t>
      </w:r>
      <w:r w:rsidR="00B56327" w:rsidRPr="000C4E53">
        <w:rPr>
          <w:rFonts w:ascii="Arial" w:hAnsi="Arial" w:cs="Arial"/>
        </w:rPr>
        <w:t xml:space="preserve"> procedimiento, </w:t>
      </w:r>
      <w:r w:rsidR="002B304A" w:rsidRPr="000C4E53">
        <w:rPr>
          <w:rFonts w:ascii="Arial" w:hAnsi="Arial" w:cs="Arial"/>
        </w:rPr>
        <w:t>los lineamientos, formatos e instructivos</w:t>
      </w:r>
      <w:r w:rsidR="0079239F" w:rsidRPr="000C4E53">
        <w:rPr>
          <w:rFonts w:ascii="Arial" w:hAnsi="Arial" w:cs="Arial"/>
        </w:rPr>
        <w:t xml:space="preserve"> </w:t>
      </w:r>
      <w:r w:rsidR="002B304A" w:rsidRPr="000C4E53">
        <w:rPr>
          <w:rFonts w:ascii="Arial" w:hAnsi="Arial" w:cs="Arial"/>
        </w:rPr>
        <w:t>establecidos</w:t>
      </w:r>
      <w:r w:rsidRPr="000C4E53">
        <w:rPr>
          <w:rFonts w:ascii="Arial" w:hAnsi="Arial" w:cs="Arial"/>
        </w:rPr>
        <w:t xml:space="preserve">. </w:t>
      </w:r>
    </w:p>
    <w:p w14:paraId="3C67D365" w14:textId="77777777" w:rsidR="00BC1636" w:rsidRPr="005D46AA" w:rsidRDefault="00BC1636" w:rsidP="00586EA9">
      <w:pPr>
        <w:pStyle w:val="Sangradetextonormal"/>
        <w:ind w:left="0" w:right="-29"/>
        <w:rPr>
          <w:rFonts w:ascii="Arial" w:hAnsi="Arial" w:cs="Arial"/>
        </w:rPr>
      </w:pPr>
    </w:p>
    <w:p w14:paraId="762599B6" w14:textId="5F0A79C1" w:rsidR="004012E7" w:rsidRPr="005D46AA" w:rsidRDefault="004012E7" w:rsidP="00586EA9">
      <w:pPr>
        <w:pStyle w:val="Sangradetextonormal"/>
        <w:numPr>
          <w:ilvl w:val="0"/>
          <w:numId w:val="18"/>
        </w:numPr>
        <w:ind w:right="-29"/>
        <w:rPr>
          <w:rFonts w:ascii="Arial" w:hAnsi="Arial" w:cs="Arial"/>
          <w:lang w:val="es-MX"/>
        </w:rPr>
      </w:pPr>
      <w:r w:rsidRPr="005D46AA">
        <w:rPr>
          <w:rFonts w:ascii="Arial" w:hAnsi="Arial" w:cs="Arial"/>
          <w:bCs/>
          <w:lang w:val="es-MX"/>
        </w:rPr>
        <w:t xml:space="preserve">Estándar de </w:t>
      </w:r>
      <w:r w:rsidR="00586EA9" w:rsidRPr="005D46AA">
        <w:rPr>
          <w:rFonts w:ascii="Arial" w:hAnsi="Arial" w:cs="Arial"/>
          <w:bCs/>
          <w:lang w:val="es-MX"/>
        </w:rPr>
        <w:t>calidad</w:t>
      </w:r>
      <w:r w:rsidRPr="005D46AA">
        <w:rPr>
          <w:rFonts w:ascii="Arial" w:hAnsi="Arial" w:cs="Arial"/>
          <w:bCs/>
          <w:lang w:val="es-MX"/>
        </w:rPr>
        <w:t>:</w:t>
      </w:r>
      <w:r w:rsidRPr="005D46AA">
        <w:rPr>
          <w:rFonts w:ascii="Arial" w:hAnsi="Arial" w:cs="Arial"/>
          <w:lang w:val="es-MX"/>
        </w:rPr>
        <w:t xml:space="preserve"> </w:t>
      </w:r>
      <w:r w:rsidR="00586EA9" w:rsidRPr="005D46AA">
        <w:rPr>
          <w:rFonts w:ascii="Arial" w:hAnsi="Arial" w:cs="Arial"/>
          <w:lang w:val="es-MX"/>
        </w:rPr>
        <w:t xml:space="preserve">conjunto </w:t>
      </w:r>
      <w:r w:rsidRPr="005D46AA">
        <w:rPr>
          <w:rFonts w:ascii="Arial" w:hAnsi="Arial" w:cs="Arial"/>
          <w:lang w:val="es-MX"/>
        </w:rPr>
        <w:t>de condiciones y requisitos que determinan las características de operación de un servicio social, en pro de la satisfacción de necesidades de personas, familias y comunidades, la realización de sus derechos y el desarrollo de sus capacidades</w:t>
      </w:r>
      <w:r w:rsidR="00512F17" w:rsidRPr="005D46AA">
        <w:rPr>
          <w:rStyle w:val="Refdenotaalpie"/>
          <w:rFonts w:ascii="Arial" w:hAnsi="Arial" w:cs="Arial"/>
          <w:lang w:val="es-MX"/>
        </w:rPr>
        <w:footnoteReference w:id="2"/>
      </w:r>
      <w:r w:rsidRPr="005D46AA">
        <w:rPr>
          <w:rFonts w:ascii="Arial" w:hAnsi="Arial" w:cs="Arial"/>
          <w:lang w:val="es-MX"/>
        </w:rPr>
        <w:t>.</w:t>
      </w:r>
    </w:p>
    <w:p w14:paraId="1B86DB06" w14:textId="77777777" w:rsidR="004012E7" w:rsidRPr="005D46AA" w:rsidRDefault="004012E7" w:rsidP="00586EA9">
      <w:pPr>
        <w:pStyle w:val="Sangradetextonormal"/>
        <w:ind w:left="0" w:right="-29"/>
        <w:rPr>
          <w:rFonts w:ascii="Arial" w:hAnsi="Arial" w:cs="Arial"/>
        </w:rPr>
      </w:pPr>
    </w:p>
    <w:p w14:paraId="1F8D2B0E" w14:textId="6007C4CB" w:rsidR="00DE6CDE" w:rsidRPr="005D46AA" w:rsidRDefault="00DE6CDE" w:rsidP="00586EA9">
      <w:pPr>
        <w:pStyle w:val="Sangradetextonormal"/>
        <w:numPr>
          <w:ilvl w:val="0"/>
          <w:numId w:val="18"/>
        </w:numPr>
        <w:ind w:right="-29"/>
        <w:rPr>
          <w:rFonts w:ascii="Arial" w:hAnsi="Arial" w:cs="Arial"/>
          <w:color w:val="auto"/>
        </w:rPr>
      </w:pPr>
      <w:r w:rsidRPr="005D46AA">
        <w:rPr>
          <w:rFonts w:ascii="Arial" w:hAnsi="Arial" w:cs="Arial"/>
          <w:bCs/>
          <w:color w:val="auto"/>
        </w:rPr>
        <w:t>Estudio de sector</w:t>
      </w:r>
      <w:r w:rsidR="009E0BB9" w:rsidRPr="005D46AA">
        <w:rPr>
          <w:rFonts w:ascii="Arial" w:hAnsi="Arial" w:cs="Arial"/>
          <w:bCs/>
          <w:color w:val="auto"/>
        </w:rPr>
        <w:t xml:space="preserve">: </w:t>
      </w:r>
      <w:r w:rsidR="009E0BB9" w:rsidRPr="005D46AA">
        <w:rPr>
          <w:rFonts w:ascii="Arial" w:hAnsi="Arial" w:cs="Arial"/>
          <w:color w:val="auto"/>
        </w:rPr>
        <w:t xml:space="preserve">documento que permite </w:t>
      </w:r>
      <w:r w:rsidR="00B35AFA" w:rsidRPr="005D46AA">
        <w:rPr>
          <w:rFonts w:ascii="Arial" w:hAnsi="Arial" w:cs="Arial"/>
          <w:color w:val="auto"/>
        </w:rPr>
        <w:t>“</w:t>
      </w:r>
      <w:r w:rsidR="009E0BB9" w:rsidRPr="005D46AA">
        <w:rPr>
          <w:rFonts w:ascii="Arial" w:hAnsi="Arial" w:cs="Arial"/>
          <w:color w:val="auto"/>
        </w:rPr>
        <w:t xml:space="preserve">identificar </w:t>
      </w:r>
      <w:r w:rsidR="009E0BB9" w:rsidRPr="005D46AA">
        <w:rPr>
          <w:color w:val="auto"/>
        </w:rPr>
        <w:t>los bienes, obras o servicios que satisfacen</w:t>
      </w:r>
      <w:r w:rsidR="00B35AFA" w:rsidRPr="005D46AA">
        <w:rPr>
          <w:color w:val="auto"/>
        </w:rPr>
        <w:t xml:space="preserve"> una necesidad específica y</w:t>
      </w:r>
      <w:r w:rsidR="009E0BB9" w:rsidRPr="005D46AA">
        <w:rPr>
          <w:color w:val="auto"/>
        </w:rPr>
        <w:t xml:space="preserve"> está en capacidad de definir el sector o mercado al cual pertenecen tales bienes, obras o servicios y hacer el análisis correspondiente. El análisis del sector ofrece herramientas para establecer el contexto del </w:t>
      </w:r>
      <w:r w:rsidR="00D15759" w:rsidRPr="005D46AA">
        <w:rPr>
          <w:color w:val="auto"/>
        </w:rPr>
        <w:t xml:space="preserve">proceso </w:t>
      </w:r>
      <w:r w:rsidR="009E0BB9" w:rsidRPr="005D46AA">
        <w:rPr>
          <w:color w:val="auto"/>
        </w:rPr>
        <w:t xml:space="preserve">de </w:t>
      </w:r>
      <w:r w:rsidR="00D15759" w:rsidRPr="005D46AA">
        <w:rPr>
          <w:color w:val="auto"/>
        </w:rPr>
        <w:t>contratación</w:t>
      </w:r>
      <w:r w:rsidR="009E0BB9" w:rsidRPr="005D46AA">
        <w:rPr>
          <w:color w:val="auto"/>
        </w:rPr>
        <w:t xml:space="preserve">, identificar algunos de los </w:t>
      </w:r>
      <w:r w:rsidR="004E5870" w:rsidRPr="005D46AA">
        <w:rPr>
          <w:color w:val="auto"/>
        </w:rPr>
        <w:t>r</w:t>
      </w:r>
      <w:r w:rsidR="009E0BB9" w:rsidRPr="005D46AA">
        <w:rPr>
          <w:color w:val="auto"/>
        </w:rPr>
        <w:t xml:space="preserve">iesgos, determinar los requisitos habilitantes y </w:t>
      </w:r>
      <w:r w:rsidR="00B35AFA" w:rsidRPr="005D46AA">
        <w:rPr>
          <w:color w:val="auto"/>
        </w:rPr>
        <w:t>la forma de evaluar las ofertas”</w:t>
      </w:r>
      <w:r w:rsidR="00B35AFA" w:rsidRPr="005D46AA">
        <w:rPr>
          <w:rStyle w:val="Refdenotaalpie"/>
          <w:color w:val="auto"/>
        </w:rPr>
        <w:footnoteReference w:id="3"/>
      </w:r>
      <w:r w:rsidR="00B35AFA" w:rsidRPr="005D46AA">
        <w:rPr>
          <w:color w:val="auto"/>
        </w:rPr>
        <w:t>.</w:t>
      </w:r>
      <w:r w:rsidR="00BC6528" w:rsidRPr="005D46AA">
        <w:rPr>
          <w:color w:val="auto"/>
        </w:rPr>
        <w:t xml:space="preserve"> </w:t>
      </w:r>
    </w:p>
    <w:p w14:paraId="05B98292" w14:textId="77777777" w:rsidR="00C6640A" w:rsidRPr="005D46AA" w:rsidRDefault="00C6640A" w:rsidP="00586EA9">
      <w:pPr>
        <w:pStyle w:val="Sangradetextonormal"/>
        <w:ind w:left="0" w:right="-29"/>
        <w:rPr>
          <w:rFonts w:ascii="Arial" w:hAnsi="Arial" w:cs="Arial"/>
          <w:color w:val="auto"/>
        </w:rPr>
      </w:pPr>
    </w:p>
    <w:p w14:paraId="38D2BD48" w14:textId="72A5CDBD" w:rsidR="007405CC" w:rsidRPr="005D46AA" w:rsidRDefault="00DE6CDE" w:rsidP="00586EA9">
      <w:pPr>
        <w:pStyle w:val="Sangradetextonormal"/>
        <w:numPr>
          <w:ilvl w:val="0"/>
          <w:numId w:val="18"/>
        </w:numPr>
        <w:ind w:right="-29"/>
        <w:rPr>
          <w:rFonts w:ascii="Arial" w:hAnsi="Arial" w:cs="Arial"/>
          <w:color w:val="auto"/>
        </w:rPr>
      </w:pPr>
      <w:r w:rsidRPr="005D46AA">
        <w:rPr>
          <w:rFonts w:ascii="Arial" w:hAnsi="Arial" w:cs="Arial"/>
          <w:bCs/>
          <w:color w:val="auto"/>
        </w:rPr>
        <w:t>Estudios previos:</w:t>
      </w:r>
      <w:r w:rsidR="00F4277A" w:rsidRPr="005D46AA">
        <w:rPr>
          <w:rFonts w:ascii="Arial" w:hAnsi="Arial" w:cs="Arial"/>
          <w:bCs/>
          <w:color w:val="auto"/>
        </w:rPr>
        <w:t xml:space="preserve"> </w:t>
      </w:r>
      <w:r w:rsidR="00586EA9" w:rsidRPr="005D46AA">
        <w:rPr>
          <w:rFonts w:ascii="Arial" w:hAnsi="Arial" w:cs="Arial"/>
          <w:color w:val="auto"/>
        </w:rPr>
        <w:t xml:space="preserve">los </w:t>
      </w:r>
      <w:r w:rsidR="007405CC" w:rsidRPr="005D46AA">
        <w:rPr>
          <w:rFonts w:ascii="Arial" w:hAnsi="Arial" w:cs="Arial"/>
          <w:color w:val="auto"/>
        </w:rPr>
        <w:t>estudios y documentos previos</w:t>
      </w:r>
      <w:r w:rsidR="003D5CD7" w:rsidRPr="005D46AA">
        <w:rPr>
          <w:rFonts w:ascii="Arial" w:hAnsi="Arial" w:cs="Arial"/>
          <w:color w:val="auto"/>
        </w:rPr>
        <w:t xml:space="preserve"> se entienden como </w:t>
      </w:r>
      <w:r w:rsidR="00250BBE" w:rsidRPr="005D46AA">
        <w:rPr>
          <w:rFonts w:ascii="Arial" w:hAnsi="Arial" w:cs="Arial"/>
          <w:color w:val="auto"/>
        </w:rPr>
        <w:t>los</w:t>
      </w:r>
      <w:r w:rsidR="00F4277A" w:rsidRPr="005D46AA">
        <w:rPr>
          <w:rFonts w:ascii="Arial" w:hAnsi="Arial" w:cs="Arial"/>
          <w:color w:val="auto"/>
        </w:rPr>
        <w:t xml:space="preserve"> </w:t>
      </w:r>
      <w:r w:rsidR="00250BBE" w:rsidRPr="005D46AA">
        <w:rPr>
          <w:rFonts w:ascii="Arial" w:hAnsi="Arial" w:cs="Arial"/>
          <w:color w:val="auto"/>
        </w:rPr>
        <w:t>“</w:t>
      </w:r>
      <w:r w:rsidR="002D4BF0" w:rsidRPr="005D46AA">
        <w:rPr>
          <w:rFonts w:ascii="Arial" w:hAnsi="Arial" w:cs="Arial"/>
          <w:color w:val="auto"/>
        </w:rPr>
        <w:t>análisis, documentos y trámites que deben adelantar las entidades públicas antes de contratar, sin importar el régimen legal que las cobije, en cualquiera de las modalidades que señala la ley o el manual interno que se aplique, en el caso de las entidades no gobernadas por el Estatuto</w:t>
      </w:r>
      <w:r w:rsidR="00250BBE" w:rsidRPr="005D46AA">
        <w:rPr>
          <w:rFonts w:ascii="Arial" w:hAnsi="Arial" w:cs="Arial"/>
          <w:color w:val="auto"/>
        </w:rPr>
        <w:t>”</w:t>
      </w:r>
      <w:r w:rsidR="003D5CD7" w:rsidRPr="005D46AA">
        <w:rPr>
          <w:rStyle w:val="Refdenotaalpie"/>
          <w:rFonts w:ascii="Arial" w:hAnsi="Arial" w:cs="Arial"/>
          <w:color w:val="auto"/>
        </w:rPr>
        <w:footnoteReference w:id="4"/>
      </w:r>
      <w:r w:rsidR="002D4BF0" w:rsidRPr="005D46AA">
        <w:rPr>
          <w:rFonts w:ascii="Arial" w:hAnsi="Arial" w:cs="Arial"/>
          <w:color w:val="auto"/>
        </w:rPr>
        <w:t xml:space="preserve">, los cuales </w:t>
      </w:r>
      <w:r w:rsidR="003D5CD7" w:rsidRPr="005D46AA">
        <w:rPr>
          <w:rFonts w:ascii="Arial" w:hAnsi="Arial" w:cs="Arial"/>
          <w:color w:val="auto"/>
        </w:rPr>
        <w:t>deben contener</w:t>
      </w:r>
      <w:r w:rsidR="00F32020" w:rsidRPr="005D46AA">
        <w:rPr>
          <w:rFonts w:ascii="Arial" w:hAnsi="Arial" w:cs="Arial"/>
          <w:color w:val="auto"/>
        </w:rPr>
        <w:t>:</w:t>
      </w:r>
    </w:p>
    <w:p w14:paraId="2B0903AA" w14:textId="4E3C2C42" w:rsidR="007405CC" w:rsidRPr="00C0601E" w:rsidRDefault="007405CC" w:rsidP="005D46AA">
      <w:pPr>
        <w:pStyle w:val="NormalWeb"/>
        <w:numPr>
          <w:ilvl w:val="0"/>
          <w:numId w:val="26"/>
        </w:numPr>
        <w:shd w:val="clear" w:color="auto" w:fill="FFFFFF" w:themeFill="background1"/>
        <w:spacing w:before="0" w:beforeAutospacing="0" w:after="0" w:afterAutospacing="0"/>
        <w:jc w:val="both"/>
        <w:rPr>
          <w:rFonts w:ascii="Arial" w:hAnsi="Arial" w:cs="Arial"/>
          <w:color w:val="000000"/>
          <w:sz w:val="22"/>
          <w:szCs w:val="22"/>
        </w:rPr>
      </w:pPr>
      <w:r w:rsidRPr="00C0601E">
        <w:rPr>
          <w:rFonts w:ascii="Arial" w:hAnsi="Arial" w:cs="Arial"/>
          <w:color w:val="000000"/>
          <w:sz w:val="22"/>
          <w:szCs w:val="22"/>
        </w:rPr>
        <w:t xml:space="preserve">La descripción de la necesidad que la </w:t>
      </w:r>
      <w:r w:rsidR="00CF6AE7">
        <w:rPr>
          <w:rFonts w:ascii="Arial" w:hAnsi="Arial" w:cs="Arial"/>
          <w:color w:val="000000"/>
          <w:sz w:val="22"/>
          <w:szCs w:val="22"/>
        </w:rPr>
        <w:t xml:space="preserve">Secretaria Distrital de Integración Social </w:t>
      </w:r>
      <w:r w:rsidRPr="00C0601E">
        <w:rPr>
          <w:rFonts w:ascii="Arial" w:hAnsi="Arial" w:cs="Arial"/>
          <w:color w:val="000000"/>
          <w:sz w:val="22"/>
          <w:szCs w:val="22"/>
        </w:rPr>
        <w:t>pretende satisfacer con el Proceso de Contratación.</w:t>
      </w:r>
    </w:p>
    <w:p w14:paraId="13DE558C" w14:textId="723E58EA" w:rsidR="007405CC" w:rsidRPr="00C0601E" w:rsidRDefault="007405CC" w:rsidP="005D46AA">
      <w:pPr>
        <w:pStyle w:val="NormalWeb"/>
        <w:numPr>
          <w:ilvl w:val="0"/>
          <w:numId w:val="26"/>
        </w:numPr>
        <w:shd w:val="clear" w:color="auto" w:fill="FFFFFF" w:themeFill="background1"/>
        <w:spacing w:before="0" w:beforeAutospacing="0" w:after="0" w:afterAutospacing="0"/>
        <w:jc w:val="both"/>
        <w:rPr>
          <w:rFonts w:ascii="Arial" w:hAnsi="Arial" w:cs="Arial"/>
          <w:color w:val="000000"/>
          <w:sz w:val="22"/>
          <w:szCs w:val="22"/>
        </w:rPr>
      </w:pPr>
      <w:r w:rsidRPr="00C0601E">
        <w:rPr>
          <w:rFonts w:ascii="Arial" w:hAnsi="Arial" w:cs="Arial"/>
          <w:color w:val="000000"/>
          <w:sz w:val="22"/>
          <w:szCs w:val="22"/>
        </w:rPr>
        <w:t>El objeto a contratar, con sus especificaciones, las autorizaciones, permisos y licen</w:t>
      </w:r>
      <w:r w:rsidRPr="00C0601E">
        <w:rPr>
          <w:rFonts w:ascii="Arial" w:hAnsi="Arial" w:cs="Arial"/>
          <w:color w:val="000000"/>
          <w:sz w:val="22"/>
          <w:szCs w:val="22"/>
        </w:rPr>
        <w:softHyphen/>
        <w:t>cias requeridos para su ejecución, y cuando el contrato incluye diseño y construcción, los documentos técnicos para el desarrollo del proyecto.</w:t>
      </w:r>
    </w:p>
    <w:p w14:paraId="53848598" w14:textId="5CE5F760" w:rsidR="007405CC" w:rsidRPr="00C0601E" w:rsidRDefault="007405CC" w:rsidP="005D46AA">
      <w:pPr>
        <w:pStyle w:val="NormalWeb"/>
        <w:numPr>
          <w:ilvl w:val="0"/>
          <w:numId w:val="26"/>
        </w:numPr>
        <w:shd w:val="clear" w:color="auto" w:fill="FFFFFF" w:themeFill="background1"/>
        <w:spacing w:before="0" w:beforeAutospacing="0" w:after="0" w:afterAutospacing="0"/>
        <w:jc w:val="both"/>
        <w:rPr>
          <w:rFonts w:ascii="Arial" w:hAnsi="Arial" w:cs="Arial"/>
          <w:color w:val="000000"/>
          <w:sz w:val="22"/>
          <w:szCs w:val="22"/>
        </w:rPr>
      </w:pPr>
      <w:r w:rsidRPr="00C0601E">
        <w:rPr>
          <w:rFonts w:ascii="Arial" w:hAnsi="Arial" w:cs="Arial"/>
          <w:color w:val="000000"/>
          <w:sz w:val="22"/>
          <w:szCs w:val="22"/>
        </w:rPr>
        <w:t>La modalidad de selección del contratista y su justificación, incluyendo los fundamentos jurídicos.</w:t>
      </w:r>
    </w:p>
    <w:p w14:paraId="1E05F8BB" w14:textId="36B78BE1" w:rsidR="007405CC" w:rsidRPr="00C0601E" w:rsidRDefault="007405CC" w:rsidP="005D46AA">
      <w:pPr>
        <w:pStyle w:val="NormalWeb"/>
        <w:numPr>
          <w:ilvl w:val="0"/>
          <w:numId w:val="26"/>
        </w:numPr>
        <w:shd w:val="clear" w:color="auto" w:fill="FFFFFF" w:themeFill="background1"/>
        <w:spacing w:before="0" w:beforeAutospacing="0" w:after="0" w:afterAutospacing="0"/>
        <w:jc w:val="both"/>
        <w:rPr>
          <w:rFonts w:ascii="Arial" w:hAnsi="Arial" w:cs="Arial"/>
          <w:color w:val="000000"/>
          <w:sz w:val="22"/>
          <w:szCs w:val="22"/>
        </w:rPr>
      </w:pPr>
      <w:r w:rsidRPr="00C0601E">
        <w:rPr>
          <w:rFonts w:ascii="Arial" w:hAnsi="Arial" w:cs="Arial"/>
          <w:color w:val="000000"/>
          <w:sz w:val="22"/>
          <w:szCs w:val="22"/>
        </w:rPr>
        <w:t>El valor estimado del contrato y la justificación del mismo. Cuando el valor del contrato esté determinado por precios unitarios, la</w:t>
      </w:r>
      <w:r w:rsidR="00CF6AE7">
        <w:rPr>
          <w:rFonts w:ascii="Arial" w:hAnsi="Arial" w:cs="Arial"/>
          <w:color w:val="000000"/>
          <w:sz w:val="22"/>
          <w:szCs w:val="22"/>
        </w:rPr>
        <w:t xml:space="preserve"> Secretaria Distrital de Integración Social </w:t>
      </w:r>
      <w:r w:rsidRPr="00C0601E">
        <w:rPr>
          <w:rFonts w:ascii="Arial" w:hAnsi="Arial" w:cs="Arial"/>
          <w:color w:val="000000"/>
          <w:sz w:val="22"/>
          <w:szCs w:val="22"/>
        </w:rPr>
        <w:t>debe incluir la forma como los calculó y soportar sus cálculos de presupuesto en la estimación de aquellos.</w:t>
      </w:r>
    </w:p>
    <w:p w14:paraId="6623CF9C" w14:textId="0315142B" w:rsidR="007405CC" w:rsidRPr="00C0601E" w:rsidRDefault="007405CC" w:rsidP="005D46AA">
      <w:pPr>
        <w:pStyle w:val="NormalWeb"/>
        <w:numPr>
          <w:ilvl w:val="0"/>
          <w:numId w:val="26"/>
        </w:numPr>
        <w:shd w:val="clear" w:color="auto" w:fill="FFFFFF" w:themeFill="background1"/>
        <w:spacing w:before="0" w:beforeAutospacing="0" w:after="0" w:afterAutospacing="0"/>
        <w:jc w:val="both"/>
        <w:rPr>
          <w:rFonts w:ascii="Arial" w:hAnsi="Arial" w:cs="Arial"/>
          <w:color w:val="000000"/>
          <w:sz w:val="22"/>
          <w:szCs w:val="22"/>
        </w:rPr>
      </w:pPr>
      <w:r w:rsidRPr="00C0601E">
        <w:rPr>
          <w:rFonts w:ascii="Arial" w:hAnsi="Arial" w:cs="Arial"/>
          <w:color w:val="000000"/>
          <w:sz w:val="22"/>
          <w:szCs w:val="22"/>
        </w:rPr>
        <w:lastRenderedPageBreak/>
        <w:t>Los criterios para seleccionar la oferta más favorable.</w:t>
      </w:r>
    </w:p>
    <w:p w14:paraId="06E07DED" w14:textId="5AB37349" w:rsidR="007405CC" w:rsidRPr="00C0601E" w:rsidRDefault="007405CC" w:rsidP="005D46AA">
      <w:pPr>
        <w:pStyle w:val="NormalWeb"/>
        <w:numPr>
          <w:ilvl w:val="0"/>
          <w:numId w:val="26"/>
        </w:numPr>
        <w:shd w:val="clear" w:color="auto" w:fill="FFFFFF" w:themeFill="background1"/>
        <w:spacing w:before="0" w:beforeAutospacing="0" w:after="0" w:afterAutospacing="0"/>
        <w:jc w:val="both"/>
        <w:rPr>
          <w:rFonts w:ascii="Arial" w:hAnsi="Arial" w:cs="Arial"/>
          <w:color w:val="000000"/>
          <w:sz w:val="22"/>
          <w:szCs w:val="22"/>
        </w:rPr>
      </w:pPr>
      <w:r w:rsidRPr="00C0601E">
        <w:rPr>
          <w:rFonts w:ascii="Arial" w:hAnsi="Arial" w:cs="Arial"/>
          <w:color w:val="000000"/>
          <w:sz w:val="22"/>
          <w:szCs w:val="22"/>
        </w:rPr>
        <w:t xml:space="preserve">El análisis de </w:t>
      </w:r>
      <w:r w:rsidR="00691A33" w:rsidRPr="00C0601E">
        <w:rPr>
          <w:rFonts w:ascii="Arial" w:hAnsi="Arial" w:cs="Arial"/>
          <w:color w:val="000000"/>
          <w:sz w:val="22"/>
          <w:szCs w:val="22"/>
        </w:rPr>
        <w:t>r</w:t>
      </w:r>
      <w:r w:rsidRPr="00C0601E">
        <w:rPr>
          <w:rFonts w:ascii="Arial" w:hAnsi="Arial" w:cs="Arial"/>
          <w:color w:val="000000"/>
          <w:sz w:val="22"/>
          <w:szCs w:val="22"/>
        </w:rPr>
        <w:t>iesgo y la forma de mitigarlo.</w:t>
      </w:r>
    </w:p>
    <w:p w14:paraId="6D4B8FF0" w14:textId="3A7E081D" w:rsidR="007405CC" w:rsidRPr="00C0601E" w:rsidRDefault="007405CC" w:rsidP="005D46AA">
      <w:pPr>
        <w:pStyle w:val="NormalWeb"/>
        <w:numPr>
          <w:ilvl w:val="0"/>
          <w:numId w:val="26"/>
        </w:numPr>
        <w:shd w:val="clear" w:color="auto" w:fill="FFFFFF" w:themeFill="background1"/>
        <w:spacing w:before="0" w:beforeAutospacing="0" w:after="0" w:afterAutospacing="0"/>
        <w:jc w:val="both"/>
        <w:rPr>
          <w:rFonts w:ascii="Arial" w:hAnsi="Arial" w:cs="Arial"/>
          <w:color w:val="000000"/>
          <w:sz w:val="22"/>
          <w:szCs w:val="22"/>
        </w:rPr>
      </w:pPr>
      <w:r w:rsidRPr="00C0601E">
        <w:rPr>
          <w:rFonts w:ascii="Arial" w:hAnsi="Arial" w:cs="Arial"/>
          <w:color w:val="000000"/>
          <w:sz w:val="22"/>
          <w:szCs w:val="22"/>
        </w:rPr>
        <w:t xml:space="preserve">Las garantías que la </w:t>
      </w:r>
      <w:r w:rsidR="00701FF2">
        <w:rPr>
          <w:rFonts w:ascii="Arial" w:hAnsi="Arial" w:cs="Arial"/>
          <w:color w:val="000000"/>
          <w:sz w:val="22"/>
          <w:szCs w:val="22"/>
        </w:rPr>
        <w:t xml:space="preserve">Secretaria Distrital de Integración Social </w:t>
      </w:r>
      <w:r w:rsidRPr="00C0601E">
        <w:rPr>
          <w:rFonts w:ascii="Arial" w:hAnsi="Arial" w:cs="Arial"/>
          <w:color w:val="000000"/>
          <w:sz w:val="22"/>
          <w:szCs w:val="22"/>
        </w:rPr>
        <w:t>contempla exigir en el Proceso de Contratación.</w:t>
      </w:r>
    </w:p>
    <w:p w14:paraId="06DDD5CA" w14:textId="0792C4A3" w:rsidR="007405CC" w:rsidRPr="00C0601E" w:rsidRDefault="007405CC" w:rsidP="005D46AA">
      <w:pPr>
        <w:pStyle w:val="NormalWeb"/>
        <w:numPr>
          <w:ilvl w:val="0"/>
          <w:numId w:val="26"/>
        </w:numPr>
        <w:shd w:val="clear" w:color="auto" w:fill="FFFFFF" w:themeFill="background1"/>
        <w:spacing w:before="0" w:beforeAutospacing="0" w:after="0" w:afterAutospacing="0"/>
        <w:jc w:val="both"/>
        <w:rPr>
          <w:rFonts w:ascii="Arial" w:hAnsi="Arial" w:cs="Arial"/>
          <w:color w:val="000000"/>
          <w:sz w:val="22"/>
          <w:szCs w:val="22"/>
        </w:rPr>
      </w:pPr>
      <w:r w:rsidRPr="00C0601E">
        <w:rPr>
          <w:rFonts w:ascii="Arial" w:hAnsi="Arial" w:cs="Arial"/>
          <w:color w:val="000000"/>
          <w:sz w:val="22"/>
          <w:szCs w:val="22"/>
        </w:rPr>
        <w:t xml:space="preserve">La indicación de si el </w:t>
      </w:r>
      <w:r w:rsidR="00EB4526" w:rsidRPr="00C0601E">
        <w:rPr>
          <w:rFonts w:ascii="Arial" w:hAnsi="Arial" w:cs="Arial"/>
          <w:color w:val="000000"/>
          <w:sz w:val="22"/>
          <w:szCs w:val="22"/>
        </w:rPr>
        <w:t>proceso de contratación está cobijado por un acuerdo comercial</w:t>
      </w:r>
      <w:r w:rsidRPr="00C0601E">
        <w:rPr>
          <w:rFonts w:ascii="Arial" w:hAnsi="Arial" w:cs="Arial"/>
          <w:color w:val="000000"/>
          <w:sz w:val="22"/>
          <w:szCs w:val="22"/>
        </w:rPr>
        <w:t>.</w:t>
      </w:r>
    </w:p>
    <w:p w14:paraId="457DE9AC" w14:textId="77777777" w:rsidR="00586EA9" w:rsidRDefault="00586EA9" w:rsidP="00586EA9">
      <w:pPr>
        <w:pStyle w:val="NormalWeb"/>
        <w:shd w:val="clear" w:color="auto" w:fill="FFFFFF" w:themeFill="background1"/>
        <w:spacing w:before="0" w:beforeAutospacing="0" w:after="0" w:afterAutospacing="0"/>
        <w:jc w:val="both"/>
        <w:rPr>
          <w:rFonts w:ascii="Arial" w:hAnsi="Arial" w:cs="Arial"/>
          <w:color w:val="000000"/>
          <w:sz w:val="22"/>
          <w:szCs w:val="22"/>
        </w:rPr>
      </w:pPr>
    </w:p>
    <w:p w14:paraId="6F15A974" w14:textId="3120821C" w:rsidR="00FB1DBF" w:rsidRPr="005D46AA" w:rsidRDefault="00905A97" w:rsidP="00586EA9">
      <w:pPr>
        <w:pStyle w:val="Sangradetextonormal"/>
        <w:numPr>
          <w:ilvl w:val="0"/>
          <w:numId w:val="21"/>
        </w:numPr>
        <w:ind w:right="-29"/>
        <w:rPr>
          <w:rFonts w:ascii="Arial" w:hAnsi="Arial" w:cs="Arial"/>
        </w:rPr>
      </w:pPr>
      <w:r w:rsidRPr="005D46AA">
        <w:rPr>
          <w:rFonts w:ascii="Arial" w:hAnsi="Arial" w:cs="Arial"/>
          <w:bCs/>
        </w:rPr>
        <w:t>Gerente de p</w:t>
      </w:r>
      <w:r w:rsidR="00FB1DBF" w:rsidRPr="005D46AA">
        <w:rPr>
          <w:rFonts w:ascii="Arial" w:hAnsi="Arial" w:cs="Arial"/>
          <w:bCs/>
        </w:rPr>
        <w:t>royecto</w:t>
      </w:r>
      <w:r w:rsidR="003F383A" w:rsidRPr="005D46AA">
        <w:rPr>
          <w:rStyle w:val="Refdenotaalpie"/>
          <w:rFonts w:ascii="Arial" w:hAnsi="Arial" w:cs="Arial"/>
          <w:bCs/>
        </w:rPr>
        <w:footnoteReference w:id="5"/>
      </w:r>
      <w:r w:rsidR="00FB1DBF" w:rsidRPr="005D46AA">
        <w:rPr>
          <w:rFonts w:ascii="Arial" w:hAnsi="Arial" w:cs="Arial"/>
          <w:bCs/>
        </w:rPr>
        <w:t xml:space="preserve">: </w:t>
      </w:r>
      <w:r w:rsidR="00586EA9" w:rsidRPr="005D46AA">
        <w:rPr>
          <w:rFonts w:ascii="Arial" w:hAnsi="Arial" w:cs="Arial"/>
        </w:rPr>
        <w:t xml:space="preserve">persona </w:t>
      </w:r>
      <w:r w:rsidR="00FB1DBF" w:rsidRPr="005D46AA">
        <w:rPr>
          <w:rFonts w:ascii="Arial" w:hAnsi="Arial" w:cs="Arial"/>
        </w:rPr>
        <w:t xml:space="preserve">encargada de orientar en lo que compete a la entidad, al logro de los objetivos de los ejes, programas, proyectos estratégicos y metas formuladas en el Plan de Desarrollo </w:t>
      </w:r>
      <w:r w:rsidR="00B3347A" w:rsidRPr="005D46AA">
        <w:rPr>
          <w:rFonts w:ascii="Arial" w:hAnsi="Arial" w:cs="Arial"/>
        </w:rPr>
        <w:t>Distrital.</w:t>
      </w:r>
      <w:r w:rsidR="003426DB" w:rsidRPr="005D46AA">
        <w:rPr>
          <w:rFonts w:ascii="Arial" w:hAnsi="Arial" w:cs="Arial"/>
        </w:rPr>
        <w:t xml:space="preserve"> Es asignado por resolución por el representante legal y es responsable de los proyectos de inversión en el Sistema de </w:t>
      </w:r>
      <w:r w:rsidR="00BC6528" w:rsidRPr="005D46AA">
        <w:rPr>
          <w:rFonts w:ascii="Arial" w:hAnsi="Arial" w:cs="Arial"/>
        </w:rPr>
        <w:t xml:space="preserve">Seguimiento </w:t>
      </w:r>
      <w:r w:rsidR="003426DB" w:rsidRPr="005D46AA">
        <w:rPr>
          <w:rFonts w:ascii="Arial" w:hAnsi="Arial" w:cs="Arial"/>
        </w:rPr>
        <w:t>de Planeación Distrital.</w:t>
      </w:r>
    </w:p>
    <w:p w14:paraId="2D12C7CB" w14:textId="77777777" w:rsidR="00B3347A" w:rsidRPr="005D46AA" w:rsidRDefault="00B3347A" w:rsidP="00586EA9">
      <w:pPr>
        <w:pStyle w:val="Sangradetextonormal"/>
        <w:ind w:left="0" w:right="-29"/>
        <w:rPr>
          <w:rFonts w:ascii="Arial" w:hAnsi="Arial" w:cs="Arial"/>
        </w:rPr>
      </w:pPr>
    </w:p>
    <w:p w14:paraId="52E02B6D" w14:textId="095274F6" w:rsidR="004D0AE9" w:rsidRPr="005D46AA" w:rsidRDefault="004D0AE9" w:rsidP="00586EA9">
      <w:pPr>
        <w:pStyle w:val="Sangradetextonormal"/>
        <w:numPr>
          <w:ilvl w:val="0"/>
          <w:numId w:val="21"/>
        </w:numPr>
        <w:ind w:right="-29"/>
        <w:rPr>
          <w:rFonts w:ascii="Arial" w:hAnsi="Arial" w:cs="Arial"/>
        </w:rPr>
      </w:pPr>
      <w:r w:rsidRPr="005D46AA">
        <w:rPr>
          <w:rFonts w:ascii="Arial" w:hAnsi="Arial" w:cs="Arial"/>
          <w:bCs/>
        </w:rPr>
        <w:t>Lista de precios de referencia</w:t>
      </w:r>
      <w:r w:rsidRPr="005D46AA">
        <w:rPr>
          <w:rFonts w:ascii="Arial" w:hAnsi="Arial" w:cs="Arial"/>
        </w:rPr>
        <w:t xml:space="preserve">: </w:t>
      </w:r>
      <w:r w:rsidR="00586EA9" w:rsidRPr="005D46AA">
        <w:rPr>
          <w:rFonts w:ascii="Arial" w:hAnsi="Arial" w:cs="Arial"/>
        </w:rPr>
        <w:t xml:space="preserve">documento </w:t>
      </w:r>
      <w:r w:rsidRPr="005D46AA">
        <w:rPr>
          <w:rFonts w:ascii="Arial" w:hAnsi="Arial" w:cs="Arial"/>
        </w:rPr>
        <w:t xml:space="preserve">que </w:t>
      </w:r>
      <w:r w:rsidR="00BA71D7" w:rsidRPr="005D46AA">
        <w:rPr>
          <w:rFonts w:ascii="Arial" w:hAnsi="Arial" w:cs="Arial"/>
        </w:rPr>
        <w:t>contiene</w:t>
      </w:r>
      <w:r w:rsidR="006D4BBC" w:rsidRPr="005D46AA">
        <w:rPr>
          <w:rFonts w:ascii="Arial" w:hAnsi="Arial" w:cs="Arial"/>
        </w:rPr>
        <w:t xml:space="preserve"> los</w:t>
      </w:r>
      <w:r w:rsidR="00135BB2" w:rsidRPr="005D46AA">
        <w:rPr>
          <w:rFonts w:ascii="Arial" w:hAnsi="Arial" w:cs="Arial"/>
        </w:rPr>
        <w:t xml:space="preserve"> insumo</w:t>
      </w:r>
      <w:r w:rsidR="006D4BBC" w:rsidRPr="005D46AA">
        <w:rPr>
          <w:rFonts w:ascii="Arial" w:hAnsi="Arial" w:cs="Arial"/>
        </w:rPr>
        <w:t>s</w:t>
      </w:r>
      <w:r w:rsidR="00135BB2" w:rsidRPr="005D46AA">
        <w:rPr>
          <w:rFonts w:ascii="Arial" w:hAnsi="Arial" w:cs="Arial"/>
        </w:rPr>
        <w:t>, su</w:t>
      </w:r>
      <w:r w:rsidR="00BA71D7" w:rsidRPr="005D46AA">
        <w:rPr>
          <w:rFonts w:ascii="Arial" w:hAnsi="Arial" w:cs="Arial"/>
        </w:rPr>
        <w:t xml:space="preserve"> descripción, unidad de medida y </w:t>
      </w:r>
      <w:r w:rsidR="006D4BBC" w:rsidRPr="005D46AA">
        <w:rPr>
          <w:rFonts w:ascii="Arial" w:hAnsi="Arial" w:cs="Arial"/>
        </w:rPr>
        <w:t>los valores unitarios tope</w:t>
      </w:r>
      <w:r w:rsidR="006D4BBC" w:rsidRPr="005D46AA" w:rsidDel="00BA71D7">
        <w:rPr>
          <w:rFonts w:ascii="Arial" w:hAnsi="Arial" w:cs="Arial"/>
        </w:rPr>
        <w:t xml:space="preserve"> </w:t>
      </w:r>
      <w:r w:rsidR="006D4BBC" w:rsidRPr="005D46AA">
        <w:rPr>
          <w:rFonts w:ascii="Arial" w:hAnsi="Arial" w:cs="Arial"/>
        </w:rPr>
        <w:t>para</w:t>
      </w:r>
      <w:r w:rsidRPr="005D46AA">
        <w:rPr>
          <w:rFonts w:ascii="Arial" w:hAnsi="Arial" w:cs="Arial"/>
        </w:rPr>
        <w:t xml:space="preserve"> </w:t>
      </w:r>
      <w:r w:rsidR="00566418" w:rsidRPr="005D46AA">
        <w:rPr>
          <w:rFonts w:ascii="Arial" w:hAnsi="Arial" w:cs="Arial"/>
        </w:rPr>
        <w:t xml:space="preserve">el suministro de elementos o </w:t>
      </w:r>
      <w:r w:rsidRPr="005D46AA">
        <w:rPr>
          <w:rFonts w:ascii="Arial" w:hAnsi="Arial" w:cs="Arial"/>
        </w:rPr>
        <w:t>los servicios a ser contratados</w:t>
      </w:r>
      <w:r w:rsidR="001F0BEB" w:rsidRPr="005D46AA">
        <w:rPr>
          <w:rFonts w:ascii="Arial" w:hAnsi="Arial" w:cs="Arial"/>
        </w:rPr>
        <w:t xml:space="preserve"> por la </w:t>
      </w:r>
      <w:r w:rsidR="00EB4526">
        <w:rPr>
          <w:rFonts w:ascii="Arial" w:hAnsi="Arial" w:cs="Arial"/>
        </w:rPr>
        <w:t>e</w:t>
      </w:r>
      <w:r w:rsidR="001F0BEB" w:rsidRPr="005D46AA">
        <w:rPr>
          <w:rFonts w:ascii="Arial" w:hAnsi="Arial" w:cs="Arial"/>
        </w:rPr>
        <w:t>ntidad</w:t>
      </w:r>
      <w:r w:rsidR="004B5693" w:rsidRPr="005D46AA">
        <w:rPr>
          <w:rFonts w:ascii="Arial" w:hAnsi="Arial" w:cs="Arial"/>
        </w:rPr>
        <w:t>.</w:t>
      </w:r>
    </w:p>
    <w:p w14:paraId="7CEED1F4" w14:textId="77777777" w:rsidR="004D0AE9" w:rsidRPr="005D46AA" w:rsidRDefault="004D0AE9" w:rsidP="00586EA9">
      <w:pPr>
        <w:pStyle w:val="Sangradetextonormal"/>
        <w:ind w:left="0" w:right="-29"/>
        <w:rPr>
          <w:rFonts w:ascii="Arial" w:hAnsi="Arial" w:cs="Arial"/>
        </w:rPr>
      </w:pPr>
    </w:p>
    <w:p w14:paraId="516786D1" w14:textId="64278B7B" w:rsidR="00753420" w:rsidRDefault="00B3347A" w:rsidP="00753420">
      <w:pPr>
        <w:pStyle w:val="Prrafodelista"/>
        <w:numPr>
          <w:ilvl w:val="0"/>
          <w:numId w:val="27"/>
        </w:numPr>
        <w:spacing w:after="0" w:line="240" w:lineRule="auto"/>
        <w:jc w:val="both"/>
        <w:rPr>
          <w:rFonts w:ascii="Arial" w:hAnsi="Arial" w:cs="Arial"/>
        </w:rPr>
      </w:pPr>
      <w:r w:rsidRPr="005D46AA">
        <w:rPr>
          <w:rFonts w:ascii="Arial" w:hAnsi="Arial" w:cs="Arial"/>
          <w:bCs/>
        </w:rPr>
        <w:t>Localidad</w:t>
      </w:r>
      <w:r w:rsidR="009B4F7F">
        <w:rPr>
          <w:rStyle w:val="Refdenotaalpie"/>
          <w:rFonts w:ascii="Arial" w:eastAsia="Times New Roman" w:hAnsi="Arial" w:cs="Arial"/>
          <w:lang w:eastAsia="es-CO"/>
        </w:rPr>
        <w:footnoteReference w:id="6"/>
      </w:r>
      <w:r w:rsidRPr="005D46AA">
        <w:rPr>
          <w:rFonts w:ascii="Arial" w:hAnsi="Arial" w:cs="Arial"/>
          <w:bCs/>
        </w:rPr>
        <w:t>:</w:t>
      </w:r>
      <w:r w:rsidR="00F4277A" w:rsidRPr="005D46AA">
        <w:rPr>
          <w:rFonts w:ascii="Arial" w:hAnsi="Arial" w:cs="Arial"/>
          <w:bCs/>
        </w:rPr>
        <w:t xml:space="preserve"> </w:t>
      </w:r>
      <w:r w:rsidR="00753420">
        <w:rPr>
          <w:rFonts w:ascii="Arial" w:hAnsi="Arial" w:cs="Arial"/>
        </w:rPr>
        <w:t>división político-administrativa del Distrito Capital. Definido por los actos administrativos: Acuerdo 26 de 1972, Acuerdo 8 de 1977, Acuerdo 9 de 1986, Acuerdo 15 de 1993, Acuerdo 117 de 2003, Acuerdo 14 de 1983. Es un elemento tipo polígono que determinan las áreas de las 20 localidades en que se divide el Distrito Capital. Dentro de la definición estructural se asocian los atributos de Identificador único de la localidad,</w:t>
      </w:r>
      <w:r w:rsidR="00EB4526">
        <w:rPr>
          <w:rFonts w:ascii="Arial" w:hAnsi="Arial" w:cs="Arial"/>
        </w:rPr>
        <w:t xml:space="preserve"> nombre, acto administrativo,</w:t>
      </w:r>
      <w:r w:rsidR="00753420">
        <w:rPr>
          <w:rFonts w:ascii="Arial" w:hAnsi="Arial" w:cs="Arial"/>
        </w:rPr>
        <w:t xml:space="preserve"> área de la localidad (m2)</w:t>
      </w:r>
      <w:r w:rsidR="00753420">
        <w:rPr>
          <w:rFonts w:ascii="Arial" w:eastAsia="Times New Roman" w:hAnsi="Arial" w:cs="Arial"/>
          <w:lang w:eastAsia="es-CO"/>
        </w:rPr>
        <w:t>.</w:t>
      </w:r>
    </w:p>
    <w:p w14:paraId="303AC3C0" w14:textId="77777777" w:rsidR="00FB1DBF" w:rsidRPr="005D46AA" w:rsidRDefault="00FB1DBF" w:rsidP="00586EA9">
      <w:pPr>
        <w:pStyle w:val="Sangradetextonormal"/>
        <w:ind w:left="0" w:right="-29"/>
        <w:rPr>
          <w:rFonts w:ascii="Arial" w:hAnsi="Arial" w:cs="Arial"/>
        </w:rPr>
      </w:pPr>
    </w:p>
    <w:p w14:paraId="1194781A" w14:textId="71862563" w:rsidR="00473DDB" w:rsidRDefault="00966FA7" w:rsidP="00473DDB">
      <w:pPr>
        <w:pStyle w:val="Prrafodelista1"/>
        <w:numPr>
          <w:ilvl w:val="0"/>
          <w:numId w:val="28"/>
        </w:numPr>
        <w:autoSpaceDE w:val="0"/>
        <w:autoSpaceDN w:val="0"/>
        <w:adjustRightInd w:val="0"/>
        <w:jc w:val="both"/>
        <w:rPr>
          <w:rFonts w:ascii="Arial" w:hAnsi="Arial" w:cs="Arial"/>
          <w:sz w:val="22"/>
          <w:szCs w:val="22"/>
          <w:lang w:val="es-ES"/>
        </w:rPr>
      </w:pPr>
      <w:r w:rsidRPr="00473DDB">
        <w:rPr>
          <w:rFonts w:ascii="Arial" w:eastAsiaTheme="minorHAnsi" w:hAnsi="Arial" w:cs="Arial"/>
          <w:bCs/>
          <w:sz w:val="22"/>
          <w:szCs w:val="22"/>
          <w:lang w:eastAsia="en-US"/>
        </w:rPr>
        <w:t>Meta</w:t>
      </w:r>
      <w:r w:rsidR="00473DDB" w:rsidRPr="00473DDB">
        <w:rPr>
          <w:rFonts w:ascii="Arial" w:eastAsiaTheme="minorHAnsi" w:hAnsi="Arial" w:cs="Arial"/>
          <w:bCs/>
          <w:sz w:val="22"/>
          <w:szCs w:val="22"/>
          <w:lang w:eastAsia="en-US"/>
        </w:rPr>
        <w:t>s</w:t>
      </w:r>
      <w:r w:rsidRPr="005D46AA">
        <w:rPr>
          <w:rStyle w:val="Refdenotaalpie"/>
          <w:rFonts w:ascii="Arial" w:hAnsi="Arial" w:cs="Arial"/>
          <w:bCs/>
        </w:rPr>
        <w:footnoteReference w:id="7"/>
      </w:r>
      <w:r w:rsidRPr="00473DDB">
        <w:rPr>
          <w:rFonts w:ascii="Arial" w:hAnsi="Arial" w:cs="Arial"/>
          <w:bCs/>
        </w:rPr>
        <w:t>:</w:t>
      </w:r>
      <w:r w:rsidR="00F4277A" w:rsidRPr="00473DDB">
        <w:rPr>
          <w:rFonts w:ascii="Arial" w:hAnsi="Arial" w:cs="Arial"/>
          <w:bCs/>
        </w:rPr>
        <w:t xml:space="preserve"> </w:t>
      </w:r>
      <w:r w:rsidR="00473DDB">
        <w:rPr>
          <w:rFonts w:ascii="Arial" w:eastAsiaTheme="minorHAnsi" w:hAnsi="Arial" w:cs="Arial"/>
          <w:sz w:val="22"/>
          <w:szCs w:val="22"/>
          <w:lang w:eastAsia="en-US"/>
        </w:rPr>
        <w:t>conjunto de resultados concretos, medibles, realizables y verificables que se esperan obtener en un periodo de tiempo señalado.</w:t>
      </w:r>
    </w:p>
    <w:p w14:paraId="22773EBF" w14:textId="05365CD8" w:rsidR="000B0A2E" w:rsidRPr="00473DDB" w:rsidRDefault="000B0A2E" w:rsidP="00A34809">
      <w:pPr>
        <w:pStyle w:val="Sangradetextonormal"/>
        <w:ind w:left="0" w:right="-29"/>
        <w:rPr>
          <w:rFonts w:ascii="Arial" w:hAnsi="Arial" w:cs="Arial"/>
        </w:rPr>
      </w:pPr>
    </w:p>
    <w:p w14:paraId="1684FE80" w14:textId="3B5DAC74" w:rsidR="000B0A2E" w:rsidRPr="005D46AA" w:rsidRDefault="000B0A2E" w:rsidP="00586EA9">
      <w:pPr>
        <w:pStyle w:val="Sangradetextonormal"/>
        <w:numPr>
          <w:ilvl w:val="0"/>
          <w:numId w:val="21"/>
        </w:numPr>
        <w:ind w:right="-29"/>
        <w:rPr>
          <w:rFonts w:ascii="Arial" w:hAnsi="Arial" w:cs="Arial"/>
          <w:bCs/>
        </w:rPr>
      </w:pPr>
      <w:r w:rsidRPr="005D46AA">
        <w:rPr>
          <w:rFonts w:ascii="Arial" w:hAnsi="Arial" w:cs="Arial"/>
          <w:bCs/>
        </w:rPr>
        <w:t xml:space="preserve">Modalidad de costeo </w:t>
      </w:r>
      <w:r w:rsidR="006B2641" w:rsidRPr="005D46AA">
        <w:rPr>
          <w:rFonts w:ascii="Arial" w:hAnsi="Arial" w:cs="Arial"/>
          <w:bCs/>
        </w:rPr>
        <w:t>por factor multiplicador</w:t>
      </w:r>
      <w:r w:rsidR="0005558E" w:rsidRPr="005D46AA">
        <w:rPr>
          <w:rFonts w:ascii="Arial" w:hAnsi="Arial" w:cs="Arial"/>
          <w:bCs/>
        </w:rPr>
        <w:t xml:space="preserve">: </w:t>
      </w:r>
      <w:r w:rsidR="00586EA9" w:rsidRPr="005D46AA">
        <w:rPr>
          <w:rFonts w:ascii="Arial" w:hAnsi="Arial" w:cs="Arial"/>
        </w:rPr>
        <w:t xml:space="preserve">proyección </w:t>
      </w:r>
      <w:r w:rsidR="0005558E" w:rsidRPr="005D46AA">
        <w:rPr>
          <w:rFonts w:ascii="Arial" w:hAnsi="Arial" w:cs="Arial"/>
        </w:rPr>
        <w:t xml:space="preserve">económica que hace la </w:t>
      </w:r>
      <w:r w:rsidR="00EB4526">
        <w:rPr>
          <w:rFonts w:ascii="Arial" w:hAnsi="Arial" w:cs="Arial"/>
        </w:rPr>
        <w:t>e</w:t>
      </w:r>
      <w:r w:rsidR="0005558E" w:rsidRPr="005D46AA">
        <w:rPr>
          <w:rFonts w:ascii="Arial" w:hAnsi="Arial" w:cs="Arial"/>
        </w:rPr>
        <w:t xml:space="preserve">ntidad </w:t>
      </w:r>
      <w:r w:rsidR="00726CE6" w:rsidRPr="005D46AA">
        <w:rPr>
          <w:rFonts w:ascii="Arial" w:hAnsi="Arial" w:cs="Arial"/>
        </w:rPr>
        <w:t>en cabeza de la Subdirección de plantas físicas</w:t>
      </w:r>
      <w:r w:rsidR="0005558E" w:rsidRPr="005D46AA">
        <w:rPr>
          <w:rFonts w:ascii="Arial" w:hAnsi="Arial" w:cs="Arial"/>
        </w:rPr>
        <w:t xml:space="preserve"> de los costos directos e indirectos que incurre una consultoría</w:t>
      </w:r>
      <w:r w:rsidR="00677BE7" w:rsidRPr="005D46AA">
        <w:rPr>
          <w:rFonts w:ascii="Arial" w:hAnsi="Arial" w:cs="Arial"/>
        </w:rPr>
        <w:t xml:space="preserve"> </w:t>
      </w:r>
      <w:r w:rsidR="00E86A4F" w:rsidRPr="005D46AA">
        <w:rPr>
          <w:rFonts w:ascii="Arial" w:hAnsi="Arial" w:cs="Arial"/>
        </w:rPr>
        <w:t xml:space="preserve">de obras </w:t>
      </w:r>
      <w:r w:rsidR="0005558E" w:rsidRPr="005D46AA">
        <w:rPr>
          <w:rFonts w:ascii="Arial" w:hAnsi="Arial" w:cs="Arial"/>
        </w:rPr>
        <w:t>para ejecutar sus obligaciones contractuales</w:t>
      </w:r>
      <w:r w:rsidR="00726CE6" w:rsidRPr="005D46AA">
        <w:rPr>
          <w:rFonts w:ascii="Arial" w:hAnsi="Arial" w:cs="Arial"/>
        </w:rPr>
        <w:t xml:space="preserve"> en los siguientes casos:</w:t>
      </w:r>
      <w:r w:rsidR="0005558E" w:rsidRPr="005D46AA">
        <w:rPr>
          <w:rFonts w:ascii="Arial" w:hAnsi="Arial" w:cs="Arial"/>
        </w:rPr>
        <w:t xml:space="preserve"> </w:t>
      </w:r>
      <w:r w:rsidR="00726CE6" w:rsidRPr="005D46AA">
        <w:rPr>
          <w:rFonts w:ascii="Arial" w:hAnsi="Arial" w:cs="Arial"/>
        </w:rPr>
        <w:t>i)</w:t>
      </w:r>
      <w:r w:rsidR="001F0BEB" w:rsidRPr="005D46AA">
        <w:rPr>
          <w:rFonts w:ascii="Arial" w:hAnsi="Arial" w:cs="Arial"/>
        </w:rPr>
        <w:t xml:space="preserve"> </w:t>
      </w:r>
      <w:r w:rsidR="00726CE6" w:rsidRPr="005D46AA">
        <w:rPr>
          <w:rFonts w:ascii="Arial" w:hAnsi="Arial" w:cs="Arial"/>
        </w:rPr>
        <w:t>estudios y diseños, ii) interventoría estudios y diseños y iii) interventoría de obra.</w:t>
      </w:r>
    </w:p>
    <w:p w14:paraId="602ABC3D" w14:textId="77777777" w:rsidR="007B0846" w:rsidRPr="005D46AA" w:rsidRDefault="007B0846" w:rsidP="00586EA9">
      <w:pPr>
        <w:pStyle w:val="Sangradetextonormal"/>
        <w:ind w:left="0" w:right="-29"/>
        <w:rPr>
          <w:rFonts w:ascii="Arial" w:hAnsi="Arial" w:cs="Arial"/>
        </w:rPr>
      </w:pPr>
    </w:p>
    <w:p w14:paraId="62845563" w14:textId="13ADA2A1" w:rsidR="0018667B" w:rsidRPr="005D46AA" w:rsidRDefault="00D503B8" w:rsidP="00586EA9">
      <w:pPr>
        <w:pStyle w:val="Sangradetextonormal"/>
        <w:numPr>
          <w:ilvl w:val="0"/>
          <w:numId w:val="21"/>
        </w:numPr>
        <w:ind w:right="-29"/>
        <w:rPr>
          <w:rFonts w:ascii="Arial" w:hAnsi="Arial" w:cs="Arial"/>
          <w:bCs/>
          <w:lang w:val="es-ES"/>
        </w:rPr>
      </w:pPr>
      <w:r w:rsidRPr="005D46AA">
        <w:rPr>
          <w:rFonts w:ascii="Arial" w:hAnsi="Arial" w:cs="Arial"/>
          <w:bCs/>
          <w:lang w:val="es-ES"/>
        </w:rPr>
        <w:t>Precio de r</w:t>
      </w:r>
      <w:r w:rsidR="003D3A4E" w:rsidRPr="005D46AA">
        <w:rPr>
          <w:rFonts w:ascii="Arial" w:hAnsi="Arial" w:cs="Arial"/>
          <w:bCs/>
          <w:lang w:val="es-ES"/>
        </w:rPr>
        <w:t>eferencia:</w:t>
      </w:r>
      <w:r w:rsidR="00F4277A" w:rsidRPr="005D46AA">
        <w:rPr>
          <w:rFonts w:ascii="Arial" w:hAnsi="Arial" w:cs="Arial"/>
          <w:bCs/>
          <w:lang w:val="es-ES"/>
        </w:rPr>
        <w:t xml:space="preserve"> </w:t>
      </w:r>
      <w:r w:rsidR="00586EA9" w:rsidRPr="005D46AA">
        <w:rPr>
          <w:rFonts w:ascii="Arial" w:hAnsi="Arial" w:cs="Arial"/>
          <w:lang w:val="es-ES"/>
        </w:rPr>
        <w:t xml:space="preserve">precio </w:t>
      </w:r>
      <w:r w:rsidR="00D16ECF" w:rsidRPr="005D46AA">
        <w:rPr>
          <w:rFonts w:ascii="Arial" w:hAnsi="Arial" w:cs="Arial"/>
          <w:lang w:val="es-ES"/>
        </w:rPr>
        <w:t xml:space="preserve">máximo </w:t>
      </w:r>
      <w:r w:rsidR="00856DE7" w:rsidRPr="005D46AA">
        <w:rPr>
          <w:rFonts w:ascii="Arial" w:hAnsi="Arial" w:cs="Arial"/>
          <w:lang w:val="es-ES"/>
        </w:rPr>
        <w:t>que e</w:t>
      </w:r>
      <w:r w:rsidR="005F48F3" w:rsidRPr="005D46AA">
        <w:rPr>
          <w:rFonts w:ascii="Arial" w:hAnsi="Arial" w:cs="Arial"/>
          <w:lang w:val="es-ES"/>
        </w:rPr>
        <w:t xml:space="preserve">stá </w:t>
      </w:r>
      <w:r w:rsidR="00D16ECF" w:rsidRPr="005D46AA">
        <w:rPr>
          <w:rFonts w:ascii="Arial" w:hAnsi="Arial" w:cs="Arial"/>
          <w:lang w:val="es-ES"/>
        </w:rPr>
        <w:t xml:space="preserve">dispuesto a pagar la </w:t>
      </w:r>
      <w:r w:rsidR="00EB4526">
        <w:rPr>
          <w:rFonts w:ascii="Arial" w:hAnsi="Arial" w:cs="Arial"/>
          <w:lang w:val="es-ES"/>
        </w:rPr>
        <w:t>e</w:t>
      </w:r>
      <w:r w:rsidR="00D16ECF" w:rsidRPr="005D46AA">
        <w:rPr>
          <w:rFonts w:ascii="Arial" w:hAnsi="Arial" w:cs="Arial"/>
          <w:lang w:val="es-ES"/>
        </w:rPr>
        <w:t xml:space="preserve">ntidad por cada uno de los bienes y servicios que </w:t>
      </w:r>
      <w:r w:rsidR="004B5693" w:rsidRPr="005D46AA">
        <w:rPr>
          <w:rFonts w:ascii="Arial" w:hAnsi="Arial" w:cs="Arial"/>
          <w:lang w:val="es-ES"/>
        </w:rPr>
        <w:t>requiere. E</w:t>
      </w:r>
      <w:r w:rsidR="00135BB2" w:rsidRPr="005D46AA">
        <w:rPr>
          <w:rFonts w:ascii="Arial" w:hAnsi="Arial" w:cs="Arial"/>
          <w:lang w:val="es-ES"/>
        </w:rPr>
        <w:t>s</w:t>
      </w:r>
      <w:r w:rsidR="00D16ECF" w:rsidRPr="005D46AA">
        <w:rPr>
          <w:rFonts w:ascii="Arial" w:hAnsi="Arial" w:cs="Arial"/>
          <w:lang w:val="es-ES"/>
        </w:rPr>
        <w:t xml:space="preserve"> resultado</w:t>
      </w:r>
      <w:r w:rsidR="00F4277A" w:rsidRPr="005D46AA">
        <w:rPr>
          <w:rFonts w:ascii="Arial" w:hAnsi="Arial" w:cs="Arial"/>
          <w:lang w:val="es-ES"/>
        </w:rPr>
        <w:t xml:space="preserve"> </w:t>
      </w:r>
      <w:r w:rsidR="00D16ECF" w:rsidRPr="005D46AA">
        <w:rPr>
          <w:rFonts w:ascii="Arial" w:hAnsi="Arial" w:cs="Arial"/>
          <w:lang w:val="es-ES"/>
        </w:rPr>
        <w:t>de</w:t>
      </w:r>
      <w:r w:rsidRPr="005D46AA">
        <w:rPr>
          <w:rFonts w:ascii="Arial" w:hAnsi="Arial" w:cs="Arial"/>
          <w:lang w:val="es-ES"/>
        </w:rPr>
        <w:t>l</w:t>
      </w:r>
      <w:r w:rsidR="00D16ECF" w:rsidRPr="005D46AA">
        <w:rPr>
          <w:rFonts w:ascii="Arial" w:hAnsi="Arial" w:cs="Arial"/>
          <w:lang w:val="es-ES"/>
        </w:rPr>
        <w:t xml:space="preserve"> análisis de precios de mercado, </w:t>
      </w:r>
      <w:r w:rsidR="00AB45F5" w:rsidRPr="005D46AA">
        <w:rPr>
          <w:rFonts w:ascii="Arial" w:hAnsi="Arial" w:cs="Arial"/>
          <w:lang w:val="es-ES"/>
        </w:rPr>
        <w:t xml:space="preserve">precios </w:t>
      </w:r>
      <w:r w:rsidR="00D16ECF" w:rsidRPr="005D46AA">
        <w:rPr>
          <w:rFonts w:ascii="Arial" w:hAnsi="Arial" w:cs="Arial"/>
          <w:lang w:val="es-ES"/>
        </w:rPr>
        <w:t>históricos y otras fuentes de información de referencia.</w:t>
      </w:r>
    </w:p>
    <w:p w14:paraId="09CCA005" w14:textId="77777777" w:rsidR="00B37969" w:rsidRPr="005D46AA" w:rsidRDefault="00B37969" w:rsidP="00586EA9">
      <w:pPr>
        <w:pStyle w:val="Sangradetextonormal"/>
        <w:ind w:left="0" w:right="-29"/>
        <w:rPr>
          <w:rFonts w:ascii="Arial" w:hAnsi="Arial" w:cs="Arial"/>
          <w:lang w:val="es-ES"/>
        </w:rPr>
      </w:pPr>
    </w:p>
    <w:p w14:paraId="0FAD793A" w14:textId="77777777" w:rsidR="003E4B9F" w:rsidRDefault="004C0DA2" w:rsidP="00685AD6">
      <w:pPr>
        <w:pStyle w:val="Sangradetextonormal"/>
        <w:numPr>
          <w:ilvl w:val="0"/>
          <w:numId w:val="21"/>
        </w:numPr>
        <w:ind w:right="-29"/>
        <w:rPr>
          <w:rFonts w:ascii="Arial" w:hAnsi="Arial" w:cs="Arial"/>
        </w:rPr>
      </w:pPr>
      <w:r w:rsidRPr="003E4B9F">
        <w:rPr>
          <w:rFonts w:ascii="Arial" w:hAnsi="Arial" w:cs="Arial"/>
          <w:bCs/>
        </w:rPr>
        <w:t>Proyecto</w:t>
      </w:r>
      <w:r w:rsidR="003A7267" w:rsidRPr="005D46AA">
        <w:rPr>
          <w:rStyle w:val="Refdenotaalpie"/>
          <w:rFonts w:ascii="Arial" w:hAnsi="Arial" w:cs="Arial"/>
          <w:bCs/>
        </w:rPr>
        <w:footnoteReference w:id="8"/>
      </w:r>
      <w:r w:rsidRPr="003E4B9F">
        <w:rPr>
          <w:rFonts w:ascii="Arial" w:hAnsi="Arial" w:cs="Arial"/>
          <w:bCs/>
        </w:rPr>
        <w:t>:</w:t>
      </w:r>
      <w:r w:rsidR="00F4277A" w:rsidRPr="003E4B9F">
        <w:rPr>
          <w:rFonts w:ascii="Arial" w:hAnsi="Arial" w:cs="Arial"/>
          <w:bCs/>
        </w:rPr>
        <w:t xml:space="preserve"> </w:t>
      </w:r>
      <w:r w:rsidR="00586EA9" w:rsidRPr="003E4B9F">
        <w:rPr>
          <w:rFonts w:ascii="Arial" w:hAnsi="Arial" w:cs="Arial"/>
        </w:rPr>
        <w:t xml:space="preserve">se </w:t>
      </w:r>
      <w:r w:rsidR="003A7267" w:rsidRPr="003E4B9F">
        <w:rPr>
          <w:rFonts w:ascii="Arial" w:hAnsi="Arial" w:cs="Arial"/>
        </w:rPr>
        <w:t>define como el conjunto de actividades que se desarrollan en un periodo determinado, en el cual se involucran recursos (financieros, físicos,</w:t>
      </w:r>
      <w:r w:rsidR="00F4277A" w:rsidRPr="003E4B9F">
        <w:rPr>
          <w:rFonts w:ascii="Arial" w:hAnsi="Arial" w:cs="Arial"/>
        </w:rPr>
        <w:t xml:space="preserve"> </w:t>
      </w:r>
      <w:r w:rsidR="003A7267" w:rsidRPr="003E4B9F">
        <w:rPr>
          <w:rFonts w:ascii="Arial" w:hAnsi="Arial" w:cs="Arial"/>
        </w:rPr>
        <w:t>humanos, etc.) con el propósito de transformar una situación problemática de una población específica. El resultado es una situación en la que esa problemática se elimina o se reduce.</w:t>
      </w:r>
    </w:p>
    <w:p w14:paraId="0D1068E9" w14:textId="77777777" w:rsidR="003E4B9F" w:rsidRDefault="003E4B9F" w:rsidP="003E4B9F">
      <w:pPr>
        <w:pStyle w:val="Prrafodelista"/>
        <w:rPr>
          <w:rFonts w:ascii="Arial" w:hAnsi="Arial" w:cs="Arial"/>
          <w:bCs/>
        </w:rPr>
      </w:pPr>
    </w:p>
    <w:p w14:paraId="779A98C8" w14:textId="43E3A7E9" w:rsidR="001A6B37" w:rsidRPr="003E4B9F" w:rsidRDefault="001A6B37" w:rsidP="00685AD6">
      <w:pPr>
        <w:pStyle w:val="Sangradetextonormal"/>
        <w:numPr>
          <w:ilvl w:val="0"/>
          <w:numId w:val="21"/>
        </w:numPr>
        <w:ind w:right="-29"/>
        <w:rPr>
          <w:rFonts w:ascii="Arial" w:hAnsi="Arial" w:cs="Arial"/>
        </w:rPr>
      </w:pPr>
      <w:r w:rsidRPr="003E4B9F">
        <w:rPr>
          <w:rFonts w:ascii="Arial" w:hAnsi="Arial" w:cs="Arial"/>
          <w:bCs/>
        </w:rPr>
        <w:lastRenderedPageBreak/>
        <w:t>Sede</w:t>
      </w:r>
      <w:r w:rsidR="009C50B9" w:rsidRPr="005D46AA">
        <w:rPr>
          <w:rStyle w:val="Refdenotaalpie"/>
          <w:rFonts w:ascii="Arial" w:hAnsi="Arial" w:cs="Arial"/>
          <w:bCs/>
        </w:rPr>
        <w:footnoteReference w:id="9"/>
      </w:r>
      <w:r w:rsidRPr="003E4B9F">
        <w:rPr>
          <w:rFonts w:ascii="Arial" w:hAnsi="Arial" w:cs="Arial"/>
          <w:bCs/>
        </w:rPr>
        <w:t>:</w:t>
      </w:r>
      <w:r w:rsidR="00F018DF" w:rsidRPr="003E4B9F">
        <w:rPr>
          <w:rFonts w:ascii="Arial" w:hAnsi="Arial" w:cs="Arial"/>
          <w:bCs/>
        </w:rPr>
        <w:t xml:space="preserve"> </w:t>
      </w:r>
      <w:r w:rsidR="00586EA9" w:rsidRPr="003E4B9F">
        <w:rPr>
          <w:rFonts w:ascii="Arial" w:hAnsi="Arial" w:cs="Arial"/>
        </w:rPr>
        <w:t xml:space="preserve">es </w:t>
      </w:r>
      <w:r w:rsidRPr="003E4B9F">
        <w:rPr>
          <w:rFonts w:ascii="Arial" w:hAnsi="Arial" w:cs="Arial"/>
        </w:rPr>
        <w:t xml:space="preserve">la localización geográfica de uno o más predios que pueden ser administrativos y/u operativos. Tiene las siguientes características mínimas: </w:t>
      </w:r>
      <w:r w:rsidR="00EB4526" w:rsidRPr="003E4B9F">
        <w:rPr>
          <w:rFonts w:ascii="Arial" w:hAnsi="Arial" w:cs="Arial"/>
        </w:rPr>
        <w:t>d</w:t>
      </w:r>
      <w:r w:rsidR="00C104BB" w:rsidRPr="003E4B9F">
        <w:rPr>
          <w:rFonts w:ascii="Arial" w:hAnsi="Arial" w:cs="Arial"/>
        </w:rPr>
        <w:t>irección</w:t>
      </w:r>
      <w:r w:rsidRPr="003E4B9F">
        <w:rPr>
          <w:rFonts w:ascii="Arial" w:hAnsi="Arial" w:cs="Arial"/>
        </w:rPr>
        <w:t xml:space="preserve">, </w:t>
      </w:r>
      <w:r w:rsidR="00F43ABB" w:rsidRPr="003E4B9F">
        <w:rPr>
          <w:rFonts w:ascii="Arial" w:hAnsi="Arial" w:cs="Arial"/>
        </w:rPr>
        <w:t>identificación predial y propietario.</w:t>
      </w:r>
    </w:p>
    <w:p w14:paraId="00E430CA" w14:textId="77777777" w:rsidR="0073604A" w:rsidRPr="005D46AA" w:rsidRDefault="0073604A" w:rsidP="00586EA9">
      <w:pPr>
        <w:pStyle w:val="Sangradetextonormal"/>
        <w:ind w:left="0" w:right="-29"/>
        <w:rPr>
          <w:rFonts w:ascii="Arial" w:hAnsi="Arial" w:cs="Arial"/>
        </w:rPr>
      </w:pPr>
    </w:p>
    <w:p w14:paraId="52F4AB76" w14:textId="43DB76FF" w:rsidR="00351039" w:rsidRDefault="00C72F80" w:rsidP="00B05669">
      <w:pPr>
        <w:pStyle w:val="Sangradetextonormal"/>
        <w:numPr>
          <w:ilvl w:val="0"/>
          <w:numId w:val="21"/>
        </w:numPr>
        <w:ind w:right="-29"/>
        <w:rPr>
          <w:rFonts w:ascii="Arial" w:hAnsi="Arial" w:cs="Arial"/>
          <w:bCs/>
        </w:rPr>
      </w:pPr>
      <w:r w:rsidRPr="00D97465">
        <w:rPr>
          <w:rFonts w:ascii="Arial" w:hAnsi="Arial" w:cs="Arial"/>
          <w:bCs/>
        </w:rPr>
        <w:t>Servicios y apoyos sociales</w:t>
      </w:r>
      <w:r w:rsidR="00D97465">
        <w:rPr>
          <w:rStyle w:val="Refdenotaalpie"/>
          <w:rFonts w:ascii="Arial" w:hAnsi="Arial" w:cs="Arial"/>
          <w:bCs/>
        </w:rPr>
        <w:footnoteReference w:id="10"/>
      </w:r>
      <w:r w:rsidRPr="00D97465">
        <w:rPr>
          <w:rFonts w:ascii="Arial" w:hAnsi="Arial" w:cs="Arial"/>
          <w:bCs/>
        </w:rPr>
        <w:t xml:space="preserve">: </w:t>
      </w:r>
      <w:r w:rsidR="00EB4526">
        <w:rPr>
          <w:rFonts w:ascii="Arial" w:hAnsi="Arial" w:cs="Arial"/>
          <w:bCs/>
        </w:rPr>
        <w:t>s</w:t>
      </w:r>
      <w:r w:rsidRPr="00D97465">
        <w:rPr>
          <w:rFonts w:ascii="Arial" w:hAnsi="Arial" w:cs="Arial"/>
          <w:bCs/>
        </w:rPr>
        <w:t>on la respuesta institucional y territorializada de la Secretaría Distrital de Integración Social a las necesidades identificadas de las y los ciudadanos que se encuentran en</w:t>
      </w:r>
      <w:r w:rsidR="00D97465" w:rsidRPr="00D97465">
        <w:rPr>
          <w:rFonts w:ascii="Arial" w:hAnsi="Arial" w:cs="Arial"/>
          <w:bCs/>
        </w:rPr>
        <w:t xml:space="preserve"> </w:t>
      </w:r>
      <w:r w:rsidRPr="00D97465">
        <w:rPr>
          <w:rFonts w:ascii="Arial" w:hAnsi="Arial" w:cs="Arial"/>
          <w:bCs/>
        </w:rPr>
        <w:t>situación de vulnerabilidad. A través de estos se busca la generación de condiciones sociales para</w:t>
      </w:r>
      <w:r w:rsidR="00D97465" w:rsidRPr="00D97465">
        <w:rPr>
          <w:rFonts w:ascii="Arial" w:hAnsi="Arial" w:cs="Arial"/>
          <w:bCs/>
        </w:rPr>
        <w:t xml:space="preserve"> </w:t>
      </w:r>
      <w:r w:rsidRPr="00D97465">
        <w:rPr>
          <w:rFonts w:ascii="Arial" w:hAnsi="Arial" w:cs="Arial"/>
          <w:bCs/>
        </w:rPr>
        <w:t>el ejercicio de derechos, y su principal objetivo es el desarrollo de capacidades que faciliten la</w:t>
      </w:r>
      <w:r w:rsidR="00D97465" w:rsidRPr="00D97465">
        <w:rPr>
          <w:rFonts w:ascii="Arial" w:hAnsi="Arial" w:cs="Arial"/>
          <w:bCs/>
        </w:rPr>
        <w:t xml:space="preserve"> </w:t>
      </w:r>
      <w:r w:rsidRPr="00D97465">
        <w:rPr>
          <w:rFonts w:ascii="Arial" w:hAnsi="Arial" w:cs="Arial"/>
          <w:bCs/>
        </w:rPr>
        <w:t>inclusión social, la autonomía de las personas y la mejora en la calidad de vida de la población en</w:t>
      </w:r>
      <w:r w:rsidR="00D97465" w:rsidRPr="00D97465">
        <w:rPr>
          <w:rFonts w:ascii="Arial" w:hAnsi="Arial" w:cs="Arial"/>
          <w:bCs/>
        </w:rPr>
        <w:t xml:space="preserve"> </w:t>
      </w:r>
      <w:r w:rsidRPr="00D97465">
        <w:rPr>
          <w:rFonts w:ascii="Arial" w:hAnsi="Arial" w:cs="Arial"/>
          <w:bCs/>
        </w:rPr>
        <w:t>mayor condición de vulnerabilidad</w:t>
      </w:r>
    </w:p>
    <w:p w14:paraId="0E9088CD" w14:textId="77777777" w:rsidR="000C2083" w:rsidRPr="000C2083" w:rsidRDefault="000C2083" w:rsidP="000C2083">
      <w:pPr>
        <w:pStyle w:val="Sangradetextonormal"/>
        <w:ind w:left="360" w:right="-29"/>
        <w:rPr>
          <w:rFonts w:ascii="Arial" w:hAnsi="Arial" w:cs="Arial"/>
        </w:rPr>
      </w:pPr>
    </w:p>
    <w:p w14:paraId="0F629EF1" w14:textId="5570DC31" w:rsidR="00FE3F45" w:rsidRPr="005D46AA" w:rsidRDefault="00351039" w:rsidP="00586EA9">
      <w:pPr>
        <w:pStyle w:val="Sangradetextonormal"/>
        <w:numPr>
          <w:ilvl w:val="0"/>
          <w:numId w:val="21"/>
        </w:numPr>
        <w:ind w:right="-29"/>
        <w:rPr>
          <w:rFonts w:ascii="Arial" w:hAnsi="Arial" w:cs="Arial"/>
        </w:rPr>
      </w:pPr>
      <w:r w:rsidRPr="005D46AA">
        <w:rPr>
          <w:rFonts w:ascii="Arial" w:hAnsi="Arial" w:cs="Arial"/>
          <w:bCs/>
        </w:rPr>
        <w:t xml:space="preserve">Unidad </w:t>
      </w:r>
      <w:r w:rsidR="003A7267" w:rsidRPr="005D46AA">
        <w:rPr>
          <w:rFonts w:ascii="Arial" w:hAnsi="Arial" w:cs="Arial"/>
          <w:bCs/>
        </w:rPr>
        <w:t>o</w:t>
      </w:r>
      <w:r w:rsidRPr="005D46AA">
        <w:rPr>
          <w:rFonts w:ascii="Arial" w:hAnsi="Arial" w:cs="Arial"/>
          <w:bCs/>
        </w:rPr>
        <w:t xml:space="preserve">perativa: </w:t>
      </w:r>
      <w:r w:rsidR="00EB4526">
        <w:rPr>
          <w:rFonts w:ascii="Arial" w:hAnsi="Arial" w:cs="Arial"/>
          <w:bCs/>
        </w:rPr>
        <w:t>l</w:t>
      </w:r>
      <w:r w:rsidR="00756F9F">
        <w:rPr>
          <w:rFonts w:ascii="Arial" w:hAnsi="Arial" w:cs="Arial"/>
          <w:bCs/>
        </w:rPr>
        <w:t>ugar donde se</w:t>
      </w:r>
      <w:r w:rsidRPr="005D46AA">
        <w:rPr>
          <w:rFonts w:ascii="Arial" w:hAnsi="Arial" w:cs="Arial"/>
        </w:rPr>
        <w:t xml:space="preserve"> presta un servicio por parte de la Secretaría Distrital de Integración Social</w:t>
      </w:r>
      <w:r w:rsidR="00756F9F">
        <w:rPr>
          <w:rFonts w:ascii="Arial" w:hAnsi="Arial" w:cs="Arial"/>
        </w:rPr>
        <w:t xml:space="preserve"> y t</w:t>
      </w:r>
      <w:r w:rsidRPr="005D46AA">
        <w:rPr>
          <w:rFonts w:ascii="Arial" w:hAnsi="Arial" w:cs="Arial"/>
        </w:rPr>
        <w:t>iene las siguientes características mínimas: sede en la que se encuentra, nombre, servicio prestado, capacidad instalada por servicio y beneficiarios vinculados</w:t>
      </w:r>
      <w:r w:rsidR="00DC7173" w:rsidRPr="005D46AA">
        <w:rPr>
          <w:rFonts w:ascii="Arial" w:hAnsi="Arial" w:cs="Arial"/>
        </w:rPr>
        <w:t>.</w:t>
      </w:r>
    </w:p>
    <w:p w14:paraId="55784B8E" w14:textId="77777777" w:rsidR="009C50B9" w:rsidRPr="005D46AA" w:rsidRDefault="009C50B9" w:rsidP="00586EA9">
      <w:pPr>
        <w:pStyle w:val="Sangradetextonormal"/>
        <w:ind w:left="0" w:right="-29"/>
        <w:rPr>
          <w:rFonts w:ascii="Arial" w:hAnsi="Arial" w:cs="Arial"/>
        </w:rPr>
      </w:pPr>
    </w:p>
    <w:p w14:paraId="76C9AC8B" w14:textId="77777777" w:rsidR="00586EA9" w:rsidRDefault="00586EA9" w:rsidP="00586EA9">
      <w:pPr>
        <w:pStyle w:val="Sangradetextonormal"/>
        <w:ind w:left="0" w:right="-29"/>
        <w:rPr>
          <w:rFonts w:ascii="Arial" w:hAnsi="Arial" w:cs="Arial"/>
        </w:rPr>
      </w:pPr>
    </w:p>
    <w:p w14:paraId="02F775C9" w14:textId="77777777" w:rsidR="00927EF8" w:rsidRPr="005D46AA" w:rsidRDefault="00927EF8" w:rsidP="00586EA9">
      <w:pPr>
        <w:pStyle w:val="Prrafodelista"/>
        <w:numPr>
          <w:ilvl w:val="0"/>
          <w:numId w:val="11"/>
        </w:numPr>
        <w:spacing w:after="0" w:line="240" w:lineRule="auto"/>
        <w:jc w:val="both"/>
        <w:rPr>
          <w:rFonts w:ascii="Arial" w:hAnsi="Arial" w:cs="Arial"/>
          <w:bCs/>
        </w:rPr>
      </w:pPr>
      <w:r w:rsidRPr="005D46AA">
        <w:rPr>
          <w:rFonts w:ascii="Arial" w:hAnsi="Arial" w:cs="Arial"/>
          <w:bCs/>
        </w:rPr>
        <w:t>Condiciones generales</w:t>
      </w:r>
    </w:p>
    <w:p w14:paraId="6A6E4269" w14:textId="77777777" w:rsidR="00C471E6" w:rsidRDefault="00C471E6" w:rsidP="00586EA9">
      <w:pPr>
        <w:spacing w:after="0" w:line="240" w:lineRule="auto"/>
        <w:jc w:val="both"/>
        <w:rPr>
          <w:rFonts w:ascii="Arial" w:hAnsi="Arial" w:cs="Arial"/>
        </w:rPr>
      </w:pPr>
    </w:p>
    <w:p w14:paraId="624C0AD9" w14:textId="6CE02333" w:rsidR="00DE56B9" w:rsidRDefault="006146A2" w:rsidP="00BC7774">
      <w:pPr>
        <w:pStyle w:val="Prrafodelista"/>
        <w:numPr>
          <w:ilvl w:val="1"/>
          <w:numId w:val="11"/>
        </w:numPr>
        <w:spacing w:after="0" w:line="240" w:lineRule="auto"/>
        <w:ind w:left="567" w:hanging="567"/>
        <w:jc w:val="both"/>
        <w:rPr>
          <w:rFonts w:ascii="Arial" w:hAnsi="Arial" w:cs="Arial"/>
        </w:rPr>
      </w:pPr>
      <w:r w:rsidRPr="00DE56B9">
        <w:rPr>
          <w:rFonts w:ascii="Arial" w:hAnsi="Arial" w:cs="Arial"/>
        </w:rPr>
        <w:t>La definición de los precios de referencia de los bienes a adquirir por la Secretaría Distrital de Integración Social se debe</w:t>
      </w:r>
      <w:r w:rsidR="00A95165" w:rsidRPr="00DE56B9">
        <w:rPr>
          <w:rFonts w:ascii="Arial" w:hAnsi="Arial" w:cs="Arial"/>
        </w:rPr>
        <w:t xml:space="preserve"> tramitar a través del</w:t>
      </w:r>
      <w:r w:rsidR="0008675D" w:rsidRPr="00DE56B9">
        <w:rPr>
          <w:rFonts w:ascii="Arial" w:hAnsi="Arial" w:cs="Arial"/>
        </w:rPr>
        <w:t xml:space="preserve"> aplicativo</w:t>
      </w:r>
      <w:r w:rsidR="00C471E6" w:rsidRPr="00DE56B9">
        <w:rPr>
          <w:rFonts w:ascii="Arial" w:hAnsi="Arial" w:cs="Arial"/>
        </w:rPr>
        <w:t xml:space="preserve">, donde se registra toda la información necesaria </w:t>
      </w:r>
      <w:r w:rsidR="00447B73" w:rsidRPr="00DE56B9">
        <w:rPr>
          <w:rFonts w:ascii="Arial" w:hAnsi="Arial" w:cs="Arial"/>
        </w:rPr>
        <w:t>por el área o proyecto solicitante.</w:t>
      </w:r>
      <w:r w:rsidR="00733728" w:rsidRPr="00DE56B9">
        <w:rPr>
          <w:rFonts w:ascii="Arial" w:hAnsi="Arial" w:cs="Arial"/>
        </w:rPr>
        <w:t xml:space="preserve"> Una vez que se avalen los precios de referencia, el área interesada deberá remitir memorando según lo establecido en el numeral 3.1</w:t>
      </w:r>
      <w:r w:rsidR="005074FA">
        <w:rPr>
          <w:rFonts w:ascii="Arial" w:hAnsi="Arial" w:cs="Arial"/>
        </w:rPr>
        <w:t>3</w:t>
      </w:r>
      <w:r w:rsidR="00FF3EED" w:rsidRPr="00DE56B9">
        <w:rPr>
          <w:rFonts w:ascii="Arial" w:hAnsi="Arial" w:cs="Arial"/>
        </w:rPr>
        <w:t xml:space="preserve">, </w:t>
      </w:r>
      <w:r w:rsidR="00D33FAD" w:rsidRPr="00DE56B9">
        <w:rPr>
          <w:rFonts w:ascii="Arial" w:hAnsi="Arial" w:cs="Arial"/>
        </w:rPr>
        <w:t>l</w:t>
      </w:r>
      <w:r w:rsidR="00FF3EED" w:rsidRPr="00DE56B9">
        <w:rPr>
          <w:rFonts w:ascii="Arial" w:hAnsi="Arial" w:cs="Arial"/>
        </w:rPr>
        <w:t>iteral a.</w:t>
      </w:r>
    </w:p>
    <w:p w14:paraId="01CA88B3" w14:textId="77777777" w:rsidR="00DE56B9" w:rsidRDefault="00DE56B9" w:rsidP="00BC7774">
      <w:pPr>
        <w:pStyle w:val="Prrafodelista"/>
        <w:spacing w:after="0" w:line="240" w:lineRule="auto"/>
        <w:ind w:left="567" w:hanging="567"/>
        <w:jc w:val="both"/>
        <w:rPr>
          <w:rFonts w:ascii="Arial" w:hAnsi="Arial" w:cs="Arial"/>
        </w:rPr>
      </w:pPr>
    </w:p>
    <w:p w14:paraId="1F18D43C" w14:textId="1CAF17EA" w:rsidR="00715EFB" w:rsidRPr="00715EFB" w:rsidRDefault="00C50997" w:rsidP="009F17F3">
      <w:pPr>
        <w:pStyle w:val="Prrafodelista"/>
        <w:numPr>
          <w:ilvl w:val="1"/>
          <w:numId w:val="11"/>
        </w:numPr>
        <w:spacing w:after="0" w:line="240" w:lineRule="auto"/>
        <w:ind w:left="567" w:hanging="567"/>
        <w:jc w:val="both"/>
        <w:rPr>
          <w:rFonts w:ascii="Arial" w:hAnsi="Arial" w:cs="Arial"/>
        </w:rPr>
      </w:pPr>
      <w:r w:rsidRPr="00715EFB">
        <w:rPr>
          <w:rFonts w:ascii="Arial" w:hAnsi="Arial" w:cs="Arial"/>
        </w:rPr>
        <w:t xml:space="preserve">Para la </w:t>
      </w:r>
      <w:r w:rsidR="00856596" w:rsidRPr="00715EFB">
        <w:rPr>
          <w:rFonts w:ascii="Arial" w:hAnsi="Arial" w:cs="Arial"/>
        </w:rPr>
        <w:t>adquisición de bienes</w:t>
      </w:r>
      <w:r w:rsidR="00C67F5C" w:rsidRPr="00715EFB">
        <w:rPr>
          <w:rFonts w:ascii="Arial" w:hAnsi="Arial" w:cs="Arial"/>
        </w:rPr>
        <w:t xml:space="preserve"> por bolsa</w:t>
      </w:r>
      <w:r w:rsidR="00B95664" w:rsidRPr="00715EFB">
        <w:rPr>
          <w:rFonts w:ascii="Arial" w:hAnsi="Arial" w:cs="Arial"/>
        </w:rPr>
        <w:t xml:space="preserve"> mercantil</w:t>
      </w:r>
      <w:r w:rsidR="00D33FAD" w:rsidRPr="00715EFB">
        <w:rPr>
          <w:rFonts w:ascii="Arial" w:hAnsi="Arial" w:cs="Arial"/>
        </w:rPr>
        <w:t xml:space="preserve"> y </w:t>
      </w:r>
      <w:r w:rsidRPr="00715EFB">
        <w:rPr>
          <w:rFonts w:ascii="Arial" w:hAnsi="Arial" w:cs="Arial"/>
        </w:rPr>
        <w:t xml:space="preserve">la </w:t>
      </w:r>
      <w:r w:rsidR="00D33FAD" w:rsidRPr="00715EFB">
        <w:rPr>
          <w:rFonts w:ascii="Arial" w:hAnsi="Arial" w:cs="Arial"/>
        </w:rPr>
        <w:t xml:space="preserve">adquisición </w:t>
      </w:r>
      <w:r w:rsidR="008E0C4E" w:rsidRPr="00715EFB">
        <w:rPr>
          <w:rFonts w:ascii="Arial" w:hAnsi="Arial" w:cs="Arial"/>
        </w:rPr>
        <w:t>de servicios</w:t>
      </w:r>
      <w:r w:rsidR="00837FC0" w:rsidRPr="00715EFB">
        <w:rPr>
          <w:rFonts w:ascii="Arial" w:hAnsi="Arial" w:cs="Arial"/>
        </w:rPr>
        <w:t xml:space="preserve">, </w:t>
      </w:r>
      <w:r w:rsidR="00D644AA" w:rsidRPr="00715EFB">
        <w:rPr>
          <w:rFonts w:ascii="Arial" w:hAnsi="Arial" w:cs="Arial"/>
        </w:rPr>
        <w:t xml:space="preserve">el proceso </w:t>
      </w:r>
      <w:r w:rsidR="00837FC0" w:rsidRPr="00715EFB">
        <w:rPr>
          <w:rFonts w:ascii="Arial" w:hAnsi="Arial" w:cs="Arial"/>
        </w:rPr>
        <w:t>debe radicarse</w:t>
      </w:r>
      <w:r w:rsidR="00C1093A" w:rsidRPr="00715EFB">
        <w:rPr>
          <w:rFonts w:ascii="Arial" w:hAnsi="Arial" w:cs="Arial"/>
        </w:rPr>
        <w:t xml:space="preserve"> con los soportes </w:t>
      </w:r>
      <w:r w:rsidR="00CA0E5E" w:rsidRPr="00715EFB">
        <w:rPr>
          <w:rFonts w:ascii="Arial" w:hAnsi="Arial" w:cs="Arial"/>
        </w:rPr>
        <w:t xml:space="preserve">en la Subdirección de Diseño, Evaluación y Sistematización </w:t>
      </w:r>
      <w:r w:rsidR="00837FC0" w:rsidRPr="00715EFB">
        <w:rPr>
          <w:rFonts w:ascii="Arial" w:hAnsi="Arial" w:cs="Arial"/>
        </w:rPr>
        <w:t>a través de memorando</w:t>
      </w:r>
      <w:r w:rsidR="00DE56B9" w:rsidRPr="00715EFB">
        <w:rPr>
          <w:rFonts w:ascii="Arial" w:hAnsi="Arial" w:cs="Arial"/>
        </w:rPr>
        <w:t xml:space="preserve"> </w:t>
      </w:r>
      <w:r w:rsidR="00CA0E5E" w:rsidRPr="00715EFB">
        <w:rPr>
          <w:rFonts w:ascii="Arial" w:hAnsi="Arial" w:cs="Arial"/>
        </w:rPr>
        <w:t xml:space="preserve">en </w:t>
      </w:r>
      <w:r w:rsidR="00715EFB" w:rsidRPr="00715EFB">
        <w:rPr>
          <w:rFonts w:ascii="Arial" w:hAnsi="Arial" w:cs="Arial"/>
        </w:rPr>
        <w:t>el sistema de gestión documental.</w:t>
      </w:r>
    </w:p>
    <w:p w14:paraId="568FBEAF" w14:textId="09191AC7" w:rsidR="00C471E6" w:rsidRDefault="00C471E6" w:rsidP="00750249">
      <w:pPr>
        <w:pStyle w:val="Prrafodelista"/>
        <w:spacing w:after="0" w:line="240" w:lineRule="auto"/>
        <w:ind w:left="567"/>
        <w:jc w:val="both"/>
        <w:rPr>
          <w:rFonts w:ascii="Arial" w:hAnsi="Arial" w:cs="Arial"/>
        </w:rPr>
      </w:pPr>
    </w:p>
    <w:p w14:paraId="50EF7FCB" w14:textId="52C3CA88" w:rsidR="00AE37A6" w:rsidRDefault="00B622BB" w:rsidP="00BC7774">
      <w:pPr>
        <w:pStyle w:val="Prrafodelista"/>
        <w:numPr>
          <w:ilvl w:val="1"/>
          <w:numId w:val="11"/>
        </w:numPr>
        <w:spacing w:after="0" w:line="240" w:lineRule="auto"/>
        <w:ind w:left="567" w:hanging="567"/>
        <w:jc w:val="both"/>
        <w:rPr>
          <w:rFonts w:ascii="Arial" w:hAnsi="Arial" w:cs="Arial"/>
        </w:rPr>
      </w:pPr>
      <w:r w:rsidRPr="00AE37A6">
        <w:rPr>
          <w:rFonts w:ascii="Arial" w:hAnsi="Arial" w:cs="Arial"/>
        </w:rPr>
        <w:t xml:space="preserve">En aquellos casos en los cuales pueda existir un inconveniente técnico en el aplicativo o dadas las condiciones particulares de los procesos en fases precontractuales o contractuales que adelanta la </w:t>
      </w:r>
      <w:r w:rsidR="00EB4526">
        <w:rPr>
          <w:rFonts w:ascii="Arial" w:hAnsi="Arial" w:cs="Arial"/>
        </w:rPr>
        <w:t>e</w:t>
      </w:r>
      <w:r w:rsidRPr="00AE37A6">
        <w:rPr>
          <w:rFonts w:ascii="Arial" w:hAnsi="Arial" w:cs="Arial"/>
        </w:rPr>
        <w:t xml:space="preserve">ntidad, </w:t>
      </w:r>
      <w:r w:rsidR="00AE37A6" w:rsidRPr="00CA0E5E">
        <w:rPr>
          <w:rFonts w:ascii="Arial" w:hAnsi="Arial" w:cs="Arial"/>
        </w:rPr>
        <w:t>el proceso debe radicarse</w:t>
      </w:r>
      <w:r w:rsidR="00AE37A6">
        <w:rPr>
          <w:rFonts w:ascii="Arial" w:hAnsi="Arial" w:cs="Arial"/>
        </w:rPr>
        <w:t xml:space="preserve"> con los soportes </w:t>
      </w:r>
      <w:r w:rsidR="00AE37A6" w:rsidRPr="00CA0E5E">
        <w:rPr>
          <w:rFonts w:ascii="Arial" w:hAnsi="Arial" w:cs="Arial"/>
        </w:rPr>
        <w:t xml:space="preserve">en la Subdirección de Diseño, Evaluación y Sistematización a través de memorando </w:t>
      </w:r>
      <w:r w:rsidR="00AE37A6">
        <w:rPr>
          <w:rFonts w:ascii="Arial" w:hAnsi="Arial" w:cs="Arial"/>
        </w:rPr>
        <w:t xml:space="preserve">en </w:t>
      </w:r>
      <w:r w:rsidR="00EB4526">
        <w:rPr>
          <w:rFonts w:ascii="Arial" w:hAnsi="Arial" w:cs="Arial"/>
        </w:rPr>
        <w:t>el sistema de gestión documental</w:t>
      </w:r>
      <w:r w:rsidR="00AE37A6">
        <w:rPr>
          <w:rFonts w:ascii="Arial" w:hAnsi="Arial" w:cs="Arial"/>
        </w:rPr>
        <w:t>.</w:t>
      </w:r>
    </w:p>
    <w:p w14:paraId="1978C2A7" w14:textId="6D903934" w:rsidR="00C95159" w:rsidRPr="00AE37A6" w:rsidRDefault="00C95159" w:rsidP="00BC7774">
      <w:pPr>
        <w:pStyle w:val="Prrafodelista"/>
        <w:spacing w:after="0" w:line="240" w:lineRule="auto"/>
        <w:ind w:left="567" w:hanging="567"/>
        <w:jc w:val="both"/>
        <w:rPr>
          <w:rFonts w:ascii="Arial" w:hAnsi="Arial" w:cs="Arial"/>
        </w:rPr>
      </w:pPr>
    </w:p>
    <w:p w14:paraId="250A1A4B" w14:textId="5FF494E6" w:rsidR="006C14C5" w:rsidRDefault="006C14C5" w:rsidP="00BC7774">
      <w:pPr>
        <w:pStyle w:val="Prrafodelista"/>
        <w:numPr>
          <w:ilvl w:val="1"/>
          <w:numId w:val="11"/>
        </w:numPr>
        <w:spacing w:after="0" w:line="240" w:lineRule="auto"/>
        <w:ind w:left="567" w:hanging="567"/>
        <w:jc w:val="both"/>
        <w:rPr>
          <w:rFonts w:ascii="Arial" w:hAnsi="Arial" w:cs="Arial"/>
        </w:rPr>
      </w:pPr>
      <w:r w:rsidRPr="006C14C5">
        <w:rPr>
          <w:rFonts w:ascii="Arial" w:hAnsi="Arial" w:cs="Arial"/>
        </w:rPr>
        <w:t xml:space="preserve">Los formatos requeridos para la viabilidad de los precios de referencia </w:t>
      </w:r>
      <w:r w:rsidR="00150EE1">
        <w:rPr>
          <w:rFonts w:ascii="Arial" w:hAnsi="Arial" w:cs="Arial"/>
        </w:rPr>
        <w:t>se relacionan en</w:t>
      </w:r>
      <w:r w:rsidRPr="006C14C5">
        <w:rPr>
          <w:rFonts w:ascii="Arial" w:hAnsi="Arial" w:cs="Arial"/>
        </w:rPr>
        <w:t xml:space="preserve"> este procedimiento,</w:t>
      </w:r>
      <w:r w:rsidR="00A05DC9">
        <w:rPr>
          <w:rFonts w:ascii="Arial" w:hAnsi="Arial" w:cs="Arial"/>
        </w:rPr>
        <w:t xml:space="preserve"> en</w:t>
      </w:r>
      <w:r w:rsidRPr="006C14C5">
        <w:rPr>
          <w:rFonts w:ascii="Arial" w:hAnsi="Arial" w:cs="Arial"/>
        </w:rPr>
        <w:t xml:space="preserve"> el lineamiento identificación de fuentes de información en la adquisición de bienes y servicios (LIN-PE-</w:t>
      </w:r>
      <w:r w:rsidR="00A05DC9">
        <w:rPr>
          <w:rFonts w:ascii="Arial" w:hAnsi="Arial" w:cs="Arial"/>
        </w:rPr>
        <w:t>001</w:t>
      </w:r>
      <w:r w:rsidR="003E4B9F" w:rsidRPr="006C14C5">
        <w:rPr>
          <w:rFonts w:ascii="Arial" w:hAnsi="Arial" w:cs="Arial"/>
        </w:rPr>
        <w:t xml:space="preserve">) </w:t>
      </w:r>
      <w:r w:rsidR="003E4B9F">
        <w:rPr>
          <w:rFonts w:ascii="Arial" w:hAnsi="Arial" w:cs="Arial"/>
        </w:rPr>
        <w:t>y</w:t>
      </w:r>
      <w:r w:rsidR="00A05DC9">
        <w:rPr>
          <w:rFonts w:ascii="Arial" w:hAnsi="Arial" w:cs="Arial"/>
        </w:rPr>
        <w:t xml:space="preserve"> el</w:t>
      </w:r>
      <w:r w:rsidRPr="006C14C5">
        <w:rPr>
          <w:rFonts w:ascii="Arial" w:hAnsi="Arial" w:cs="Arial"/>
        </w:rPr>
        <w:t xml:space="preserve"> instructivo viabilidad de precios de referencia (INS-PE-</w:t>
      </w:r>
      <w:r w:rsidR="00A05DC9">
        <w:rPr>
          <w:rFonts w:ascii="Arial" w:hAnsi="Arial" w:cs="Arial"/>
        </w:rPr>
        <w:t>007</w:t>
      </w:r>
      <w:r w:rsidRPr="006C14C5">
        <w:rPr>
          <w:rFonts w:ascii="Arial" w:hAnsi="Arial" w:cs="Arial"/>
        </w:rPr>
        <w:t>)</w:t>
      </w:r>
    </w:p>
    <w:p w14:paraId="19B5DF9B" w14:textId="77777777" w:rsidR="00675FAC" w:rsidRPr="00675FAC" w:rsidRDefault="00675FAC" w:rsidP="00BC7774">
      <w:pPr>
        <w:pStyle w:val="Prrafodelista"/>
        <w:ind w:left="567" w:hanging="567"/>
        <w:rPr>
          <w:rFonts w:ascii="Arial" w:hAnsi="Arial" w:cs="Arial"/>
        </w:rPr>
      </w:pPr>
    </w:p>
    <w:p w14:paraId="0C7A456B" w14:textId="7B4C1148" w:rsidR="00607CD1" w:rsidRDefault="009D5654" w:rsidP="00BC7774">
      <w:pPr>
        <w:pStyle w:val="Prrafodelista"/>
        <w:numPr>
          <w:ilvl w:val="1"/>
          <w:numId w:val="11"/>
        </w:numPr>
        <w:spacing w:after="0" w:line="240" w:lineRule="auto"/>
        <w:ind w:left="567" w:hanging="567"/>
        <w:jc w:val="both"/>
        <w:rPr>
          <w:rFonts w:ascii="Arial" w:hAnsi="Arial" w:cs="Arial"/>
        </w:rPr>
      </w:pPr>
      <w:r w:rsidRPr="00C471E6">
        <w:rPr>
          <w:rFonts w:ascii="Arial" w:hAnsi="Arial" w:cs="Arial"/>
        </w:rPr>
        <w:t xml:space="preserve">Sólo se </w:t>
      </w:r>
      <w:r w:rsidR="005C3506">
        <w:rPr>
          <w:rFonts w:ascii="Arial" w:hAnsi="Arial" w:cs="Arial"/>
        </w:rPr>
        <w:t>emit</w:t>
      </w:r>
      <w:r w:rsidR="00FE6D12">
        <w:rPr>
          <w:rFonts w:ascii="Arial" w:hAnsi="Arial" w:cs="Arial"/>
        </w:rPr>
        <w:t>e</w:t>
      </w:r>
      <w:r w:rsidR="005C3506">
        <w:rPr>
          <w:rFonts w:ascii="Arial" w:hAnsi="Arial" w:cs="Arial"/>
        </w:rPr>
        <w:t xml:space="preserve"> concepto de viabilidad de</w:t>
      </w:r>
      <w:r w:rsidR="00F018DF">
        <w:rPr>
          <w:rFonts w:ascii="Arial" w:hAnsi="Arial" w:cs="Arial"/>
        </w:rPr>
        <w:t xml:space="preserve"> </w:t>
      </w:r>
      <w:r w:rsidR="00607CD1">
        <w:rPr>
          <w:rFonts w:ascii="Arial" w:hAnsi="Arial" w:cs="Arial"/>
        </w:rPr>
        <w:t>precios de referencia para los procesos que incluy</w:t>
      </w:r>
      <w:r w:rsidR="00927FF9">
        <w:rPr>
          <w:rFonts w:ascii="Arial" w:hAnsi="Arial" w:cs="Arial"/>
        </w:rPr>
        <w:t xml:space="preserve">an recursos de inversión de la </w:t>
      </w:r>
      <w:r w:rsidR="00FE6D12">
        <w:rPr>
          <w:rFonts w:ascii="Arial" w:hAnsi="Arial" w:cs="Arial"/>
        </w:rPr>
        <w:t>e</w:t>
      </w:r>
      <w:r w:rsidR="00607CD1">
        <w:rPr>
          <w:rFonts w:ascii="Arial" w:hAnsi="Arial" w:cs="Arial"/>
        </w:rPr>
        <w:t>ntidad.</w:t>
      </w:r>
    </w:p>
    <w:p w14:paraId="65089C95" w14:textId="77777777" w:rsidR="00790DA6" w:rsidRPr="00790DA6" w:rsidRDefault="00790DA6" w:rsidP="00790DA6">
      <w:pPr>
        <w:pStyle w:val="Prrafodelista"/>
        <w:rPr>
          <w:rFonts w:ascii="Arial" w:hAnsi="Arial" w:cs="Arial"/>
        </w:rPr>
      </w:pPr>
    </w:p>
    <w:p w14:paraId="4591736D" w14:textId="0C14EB23" w:rsidR="00607CD1" w:rsidRDefault="00607CD1" w:rsidP="00BC7774">
      <w:pPr>
        <w:pStyle w:val="Prrafodelista"/>
        <w:numPr>
          <w:ilvl w:val="1"/>
          <w:numId w:val="11"/>
        </w:numPr>
        <w:spacing w:after="0" w:line="240" w:lineRule="auto"/>
        <w:ind w:left="567" w:hanging="567"/>
        <w:jc w:val="both"/>
        <w:rPr>
          <w:rFonts w:ascii="Arial" w:hAnsi="Arial" w:cs="Arial"/>
        </w:rPr>
      </w:pPr>
      <w:r>
        <w:rPr>
          <w:rFonts w:ascii="Arial" w:hAnsi="Arial" w:cs="Arial"/>
        </w:rPr>
        <w:lastRenderedPageBreak/>
        <w:t>Se excluy</w:t>
      </w:r>
      <w:r w:rsidR="001E03EB">
        <w:rPr>
          <w:rFonts w:ascii="Arial" w:hAnsi="Arial" w:cs="Arial"/>
        </w:rPr>
        <w:t>en de este procedimiento la contratación de talento humano y las compras a través de la plataforma</w:t>
      </w:r>
      <w:r w:rsidR="00927FF9">
        <w:rPr>
          <w:rFonts w:ascii="Arial" w:hAnsi="Arial" w:cs="Arial"/>
        </w:rPr>
        <w:t xml:space="preserve"> de</w:t>
      </w:r>
      <w:r w:rsidR="001E03EB">
        <w:rPr>
          <w:rFonts w:ascii="Arial" w:hAnsi="Arial" w:cs="Arial"/>
        </w:rPr>
        <w:t xml:space="preserve"> Colombia Compra Eficiente.</w:t>
      </w:r>
    </w:p>
    <w:p w14:paraId="7805EB45" w14:textId="77777777" w:rsidR="00607CD1" w:rsidRDefault="00607CD1" w:rsidP="00BC7774">
      <w:pPr>
        <w:pStyle w:val="Prrafodelista"/>
        <w:spacing w:after="0" w:line="240" w:lineRule="auto"/>
        <w:ind w:left="567" w:hanging="567"/>
        <w:jc w:val="both"/>
        <w:rPr>
          <w:rFonts w:ascii="Arial" w:hAnsi="Arial" w:cs="Arial"/>
        </w:rPr>
      </w:pPr>
    </w:p>
    <w:p w14:paraId="1C02A00C" w14:textId="213AD396" w:rsidR="004D27B7" w:rsidRPr="00C0601E" w:rsidRDefault="005709C7" w:rsidP="00BC7774">
      <w:pPr>
        <w:pStyle w:val="Prrafodelista"/>
        <w:numPr>
          <w:ilvl w:val="1"/>
          <w:numId w:val="11"/>
        </w:numPr>
        <w:spacing w:after="0" w:line="240" w:lineRule="auto"/>
        <w:ind w:left="567" w:hanging="567"/>
        <w:jc w:val="both"/>
        <w:rPr>
          <w:rFonts w:ascii="Arial" w:hAnsi="Arial" w:cs="Arial"/>
        </w:rPr>
      </w:pPr>
      <w:r w:rsidRPr="00C0601E">
        <w:rPr>
          <w:rFonts w:ascii="Arial" w:hAnsi="Arial" w:cs="Arial"/>
        </w:rPr>
        <w:t xml:space="preserve">Una vez </w:t>
      </w:r>
      <w:r w:rsidR="005C3506" w:rsidRPr="00C0601E">
        <w:rPr>
          <w:rFonts w:ascii="Arial" w:hAnsi="Arial" w:cs="Arial"/>
        </w:rPr>
        <w:t>emitida la viabilidad de</w:t>
      </w:r>
      <w:r w:rsidRPr="00C0601E">
        <w:rPr>
          <w:rFonts w:ascii="Arial" w:hAnsi="Arial" w:cs="Arial"/>
        </w:rPr>
        <w:t xml:space="preserve"> los precios de referencia</w:t>
      </w:r>
      <w:r w:rsidR="009453EF" w:rsidRPr="00C0601E">
        <w:rPr>
          <w:rFonts w:ascii="Arial" w:hAnsi="Arial" w:cs="Arial"/>
        </w:rPr>
        <w:t xml:space="preserve"> </w:t>
      </w:r>
      <w:r w:rsidR="0045530E" w:rsidRPr="00C0601E">
        <w:rPr>
          <w:rFonts w:ascii="Arial" w:hAnsi="Arial" w:cs="Arial"/>
        </w:rPr>
        <w:t>e</w:t>
      </w:r>
      <w:r w:rsidR="004D27B7" w:rsidRPr="00C0601E">
        <w:rPr>
          <w:rFonts w:ascii="Arial" w:hAnsi="Arial" w:cs="Arial"/>
        </w:rPr>
        <w:t xml:space="preserve">l proyecto </w:t>
      </w:r>
      <w:r w:rsidR="00FE6D12">
        <w:rPr>
          <w:rFonts w:ascii="Arial" w:hAnsi="Arial" w:cs="Arial"/>
        </w:rPr>
        <w:t>e</w:t>
      </w:r>
      <w:r w:rsidR="004D27B7" w:rsidRPr="00C0601E">
        <w:rPr>
          <w:rFonts w:ascii="Arial" w:hAnsi="Arial" w:cs="Arial"/>
        </w:rPr>
        <w:t>s</w:t>
      </w:r>
      <w:r w:rsidR="00FE6D12">
        <w:rPr>
          <w:rFonts w:ascii="Arial" w:hAnsi="Arial" w:cs="Arial"/>
        </w:rPr>
        <w:t xml:space="preserve"> el </w:t>
      </w:r>
      <w:r w:rsidR="004D27B7" w:rsidRPr="00C0601E">
        <w:rPr>
          <w:rFonts w:ascii="Arial" w:hAnsi="Arial" w:cs="Arial"/>
        </w:rPr>
        <w:t>responsable de verificar el cumplimiento de lo aprobado</w:t>
      </w:r>
      <w:r w:rsidR="0045530E" w:rsidRPr="00C0601E">
        <w:rPr>
          <w:rFonts w:ascii="Arial" w:hAnsi="Arial" w:cs="Arial"/>
        </w:rPr>
        <w:t xml:space="preserve"> y n</w:t>
      </w:r>
      <w:r w:rsidRPr="00C0601E">
        <w:rPr>
          <w:rFonts w:ascii="Arial" w:hAnsi="Arial" w:cs="Arial"/>
        </w:rPr>
        <w:t>o se requerirán posteriores aprobaciones sobre los mismos</w:t>
      </w:r>
      <w:r w:rsidR="00ED51E4" w:rsidRPr="00C0601E">
        <w:rPr>
          <w:rFonts w:ascii="Arial" w:hAnsi="Arial" w:cs="Arial"/>
        </w:rPr>
        <w:t>,</w:t>
      </w:r>
      <w:r w:rsidRPr="00C0601E">
        <w:rPr>
          <w:rFonts w:ascii="Arial" w:hAnsi="Arial" w:cs="Arial"/>
        </w:rPr>
        <w:t xml:space="preserve"> salvo que las condi</w:t>
      </w:r>
      <w:r w:rsidR="00ED51E4" w:rsidRPr="00C0601E">
        <w:rPr>
          <w:rFonts w:ascii="Arial" w:hAnsi="Arial" w:cs="Arial"/>
        </w:rPr>
        <w:t xml:space="preserve">ciones inicialmente avaladas </w:t>
      </w:r>
      <w:r w:rsidRPr="00C0601E">
        <w:rPr>
          <w:rFonts w:ascii="Arial" w:hAnsi="Arial" w:cs="Arial"/>
        </w:rPr>
        <w:t>presenten alguna modificación</w:t>
      </w:r>
      <w:r w:rsidR="00007423">
        <w:rPr>
          <w:rFonts w:ascii="Arial" w:hAnsi="Arial" w:cs="Arial"/>
        </w:rPr>
        <w:t xml:space="preserve"> que superen los precio</w:t>
      </w:r>
      <w:r w:rsidR="00586EA9">
        <w:rPr>
          <w:rFonts w:ascii="Arial" w:hAnsi="Arial" w:cs="Arial"/>
        </w:rPr>
        <w:t>s</w:t>
      </w:r>
      <w:r w:rsidR="00007423">
        <w:rPr>
          <w:rFonts w:ascii="Arial" w:hAnsi="Arial" w:cs="Arial"/>
        </w:rPr>
        <w:t xml:space="preserve"> de referencia viabilizados</w:t>
      </w:r>
      <w:r w:rsidRPr="00C0601E">
        <w:rPr>
          <w:rFonts w:ascii="Arial" w:hAnsi="Arial" w:cs="Arial"/>
        </w:rPr>
        <w:t xml:space="preserve">. </w:t>
      </w:r>
    </w:p>
    <w:p w14:paraId="2BC2B9D6" w14:textId="77777777" w:rsidR="004D27B7" w:rsidRPr="00586EA9" w:rsidRDefault="004D27B7" w:rsidP="00BC7774">
      <w:pPr>
        <w:spacing w:after="0" w:line="240" w:lineRule="auto"/>
        <w:ind w:left="567" w:hanging="567"/>
        <w:jc w:val="both"/>
        <w:rPr>
          <w:rFonts w:ascii="Arial" w:hAnsi="Arial" w:cs="Arial"/>
        </w:rPr>
      </w:pPr>
    </w:p>
    <w:p w14:paraId="5D205AE7" w14:textId="21BD9E58" w:rsidR="001D57E5" w:rsidRPr="001D57E5" w:rsidRDefault="001D57E5" w:rsidP="00BC7774">
      <w:pPr>
        <w:pStyle w:val="Prrafodelista"/>
        <w:numPr>
          <w:ilvl w:val="1"/>
          <w:numId w:val="11"/>
        </w:numPr>
        <w:spacing w:after="0" w:line="240" w:lineRule="auto"/>
        <w:ind w:left="567" w:hanging="567"/>
        <w:jc w:val="both"/>
        <w:rPr>
          <w:rFonts w:ascii="Arial" w:hAnsi="Arial" w:cs="Arial"/>
        </w:rPr>
      </w:pPr>
      <w:r w:rsidRPr="001D57E5">
        <w:rPr>
          <w:rFonts w:ascii="Arial" w:hAnsi="Arial" w:cs="Arial"/>
        </w:rPr>
        <w:t>En el evento en que se requiera la inclusión de ítems no previstos, se t</w:t>
      </w:r>
      <w:r w:rsidR="00FE6D12">
        <w:rPr>
          <w:rFonts w:ascii="Arial" w:hAnsi="Arial" w:cs="Arial"/>
        </w:rPr>
        <w:t>i</w:t>
      </w:r>
      <w:r w:rsidRPr="001D57E5">
        <w:rPr>
          <w:rFonts w:ascii="Arial" w:hAnsi="Arial" w:cs="Arial"/>
        </w:rPr>
        <w:t>en</w:t>
      </w:r>
      <w:r w:rsidR="00FE6D12">
        <w:rPr>
          <w:rFonts w:ascii="Arial" w:hAnsi="Arial" w:cs="Arial"/>
        </w:rPr>
        <w:t>e</w:t>
      </w:r>
      <w:r w:rsidRPr="001D57E5">
        <w:rPr>
          <w:rFonts w:ascii="Arial" w:hAnsi="Arial" w:cs="Arial"/>
        </w:rPr>
        <w:t xml:space="preserve"> en cuenta en primer lugar los insumos contractuales que hacen parte del </w:t>
      </w:r>
      <w:r w:rsidR="002D654F">
        <w:rPr>
          <w:rFonts w:ascii="Arial" w:hAnsi="Arial" w:cs="Arial"/>
        </w:rPr>
        <w:t>p</w:t>
      </w:r>
      <w:r w:rsidRPr="001D57E5">
        <w:rPr>
          <w:rFonts w:ascii="Arial" w:hAnsi="Arial" w:cs="Arial"/>
        </w:rPr>
        <w:t>resupuesto adjudicado, en caso de no hacer parte de dicho listado se utilizarán en segunda medida  los ítems y sus respectivos valores  unitarios  establecidos en el listado de precios de referencia aprobados por la Subdirección de Diseño, Evaluación y Sistematización</w:t>
      </w:r>
      <w:r w:rsidR="00B0354D">
        <w:rPr>
          <w:rFonts w:ascii="Arial" w:hAnsi="Arial" w:cs="Arial"/>
        </w:rPr>
        <w:t>, en procesos con condiciones similares</w:t>
      </w:r>
      <w:r w:rsidRPr="001D57E5">
        <w:rPr>
          <w:rFonts w:ascii="Arial" w:hAnsi="Arial" w:cs="Arial"/>
        </w:rPr>
        <w:t>, si d</w:t>
      </w:r>
      <w:r>
        <w:rPr>
          <w:rFonts w:ascii="Arial" w:hAnsi="Arial" w:cs="Arial"/>
        </w:rPr>
        <w:t xml:space="preserve">icho ítem no se encuentra en el </w:t>
      </w:r>
      <w:r w:rsidRPr="001D57E5">
        <w:rPr>
          <w:rFonts w:ascii="Arial" w:hAnsi="Arial" w:cs="Arial"/>
        </w:rPr>
        <w:t xml:space="preserve">Listado de Precios de Referencia aprobados por la </w:t>
      </w:r>
      <w:r w:rsidR="00327C45" w:rsidRPr="001D57E5">
        <w:rPr>
          <w:rFonts w:ascii="Arial" w:hAnsi="Arial" w:cs="Arial"/>
        </w:rPr>
        <w:t>Subdirección de Diseño, Evaluación y Sistematización</w:t>
      </w:r>
      <w:r w:rsidRPr="001D57E5">
        <w:rPr>
          <w:rFonts w:ascii="Arial" w:hAnsi="Arial" w:cs="Arial"/>
        </w:rPr>
        <w:t xml:space="preserve">, se procede de acuerdo </w:t>
      </w:r>
      <w:r w:rsidR="00EB74C5">
        <w:rPr>
          <w:rFonts w:ascii="Arial" w:hAnsi="Arial" w:cs="Arial"/>
        </w:rPr>
        <w:t>con</w:t>
      </w:r>
      <w:r w:rsidRPr="001D57E5">
        <w:rPr>
          <w:rFonts w:ascii="Arial" w:hAnsi="Arial" w:cs="Arial"/>
        </w:rPr>
        <w:t xml:space="preserve"> lo establecido en el presente procedimiento.</w:t>
      </w:r>
    </w:p>
    <w:p w14:paraId="3E89F8A3" w14:textId="76C38749" w:rsidR="727AED36" w:rsidRPr="00586EA9" w:rsidRDefault="727AED36" w:rsidP="00BC7774">
      <w:pPr>
        <w:pStyle w:val="Prrafodelista"/>
        <w:spacing w:after="0" w:line="240" w:lineRule="auto"/>
        <w:ind w:left="567" w:hanging="567"/>
        <w:jc w:val="both"/>
        <w:rPr>
          <w:rFonts w:ascii="Arial" w:hAnsi="Arial" w:cs="Arial"/>
        </w:rPr>
      </w:pPr>
    </w:p>
    <w:p w14:paraId="7BAC4123" w14:textId="16B5FCEF" w:rsidR="00AD292E" w:rsidRDefault="002B6F65" w:rsidP="00BC7774">
      <w:pPr>
        <w:pStyle w:val="Prrafodelista"/>
        <w:numPr>
          <w:ilvl w:val="1"/>
          <w:numId w:val="11"/>
        </w:numPr>
        <w:spacing w:after="0" w:line="240" w:lineRule="auto"/>
        <w:ind w:left="567" w:hanging="567"/>
        <w:jc w:val="both"/>
        <w:rPr>
          <w:rFonts w:ascii="Arial" w:hAnsi="Arial" w:cs="Arial"/>
        </w:rPr>
      </w:pPr>
      <w:r>
        <w:rPr>
          <w:rFonts w:ascii="Arial" w:hAnsi="Arial" w:cs="Arial"/>
        </w:rPr>
        <w:t xml:space="preserve">En caso de presentarse una modificación que requiera una actualización del precio de uno o más ítems, el proyecto es </w:t>
      </w:r>
      <w:r w:rsidR="00FE6D12">
        <w:rPr>
          <w:rFonts w:ascii="Arial" w:hAnsi="Arial" w:cs="Arial"/>
        </w:rPr>
        <w:t xml:space="preserve">el </w:t>
      </w:r>
      <w:r>
        <w:rPr>
          <w:rFonts w:ascii="Arial" w:hAnsi="Arial" w:cs="Arial"/>
        </w:rPr>
        <w:t>responsable de solicitar dicha viabilidad.</w:t>
      </w:r>
    </w:p>
    <w:p w14:paraId="1A4BD374" w14:textId="77777777" w:rsidR="00385988" w:rsidRDefault="00385988" w:rsidP="00BC7774">
      <w:pPr>
        <w:pStyle w:val="Prrafodelista"/>
        <w:spacing w:after="0" w:line="240" w:lineRule="auto"/>
        <w:ind w:left="567" w:hanging="567"/>
        <w:jc w:val="both"/>
        <w:rPr>
          <w:rFonts w:ascii="Arial" w:hAnsi="Arial" w:cs="Arial"/>
        </w:rPr>
      </w:pPr>
    </w:p>
    <w:p w14:paraId="69FBC6CE" w14:textId="13DE363B" w:rsidR="00B15187" w:rsidRDefault="0027100A" w:rsidP="00BC7774">
      <w:pPr>
        <w:pStyle w:val="Prrafodelista"/>
        <w:numPr>
          <w:ilvl w:val="1"/>
          <w:numId w:val="11"/>
        </w:numPr>
        <w:spacing w:after="0" w:line="240" w:lineRule="auto"/>
        <w:ind w:left="567" w:hanging="567"/>
        <w:jc w:val="both"/>
        <w:rPr>
          <w:rFonts w:ascii="Arial" w:hAnsi="Arial" w:cs="Arial"/>
        </w:rPr>
      </w:pPr>
      <w:r w:rsidRPr="0027100A">
        <w:rPr>
          <w:rFonts w:ascii="Arial" w:hAnsi="Arial" w:cs="Arial"/>
        </w:rPr>
        <w:t xml:space="preserve">En el caso </w:t>
      </w:r>
      <w:r w:rsidR="00690293">
        <w:rPr>
          <w:rFonts w:ascii="Arial" w:hAnsi="Arial" w:cs="Arial"/>
        </w:rPr>
        <w:t xml:space="preserve">en </w:t>
      </w:r>
      <w:r w:rsidRPr="0027100A">
        <w:rPr>
          <w:rFonts w:ascii="Arial" w:hAnsi="Arial" w:cs="Arial"/>
        </w:rPr>
        <w:t xml:space="preserve">que el </w:t>
      </w:r>
      <w:r w:rsidR="00A86603">
        <w:rPr>
          <w:rFonts w:ascii="Arial" w:hAnsi="Arial" w:cs="Arial"/>
        </w:rPr>
        <w:t>Gerente del proyecto,</w:t>
      </w:r>
      <w:r w:rsidR="006F0BCF">
        <w:rPr>
          <w:rFonts w:ascii="Arial" w:hAnsi="Arial" w:cs="Arial"/>
        </w:rPr>
        <w:t xml:space="preserve"> Subdirector </w:t>
      </w:r>
      <w:r w:rsidR="00315B69">
        <w:rPr>
          <w:rFonts w:ascii="Arial" w:hAnsi="Arial" w:cs="Arial"/>
        </w:rPr>
        <w:t>Técnico</w:t>
      </w:r>
      <w:r w:rsidR="00A86603">
        <w:rPr>
          <w:rFonts w:ascii="Arial" w:hAnsi="Arial" w:cs="Arial"/>
        </w:rPr>
        <w:t xml:space="preserve"> o su delegado</w:t>
      </w:r>
      <w:r w:rsidRPr="0027100A">
        <w:rPr>
          <w:rFonts w:ascii="Arial" w:hAnsi="Arial" w:cs="Arial"/>
        </w:rPr>
        <w:t xml:space="preserve"> determine en los estudios técnicos, legales y financieros </w:t>
      </w:r>
      <w:r w:rsidR="00516671">
        <w:rPr>
          <w:rFonts w:ascii="Arial" w:hAnsi="Arial" w:cs="Arial"/>
        </w:rPr>
        <w:t>que</w:t>
      </w:r>
      <w:r w:rsidR="00F018DF">
        <w:rPr>
          <w:rFonts w:ascii="Arial" w:hAnsi="Arial" w:cs="Arial"/>
        </w:rPr>
        <w:t xml:space="preserve"> </w:t>
      </w:r>
      <w:r w:rsidR="006B38F7" w:rsidRPr="00D46DFE">
        <w:rPr>
          <w:rFonts w:ascii="Arial" w:hAnsi="Arial" w:cs="Arial"/>
        </w:rPr>
        <w:t>exist</w:t>
      </w:r>
      <w:r w:rsidR="00315B69">
        <w:rPr>
          <w:rFonts w:ascii="Arial" w:hAnsi="Arial" w:cs="Arial"/>
        </w:rPr>
        <w:t>e</w:t>
      </w:r>
      <w:r w:rsidR="00F018DF">
        <w:rPr>
          <w:rFonts w:ascii="Arial" w:hAnsi="Arial" w:cs="Arial"/>
        </w:rPr>
        <w:t xml:space="preserve"> </w:t>
      </w:r>
      <w:r w:rsidR="00315B69">
        <w:rPr>
          <w:rFonts w:ascii="Arial" w:hAnsi="Arial" w:cs="Arial"/>
        </w:rPr>
        <w:t xml:space="preserve">un </w:t>
      </w:r>
      <w:r w:rsidR="002E3BAE">
        <w:rPr>
          <w:rFonts w:ascii="Arial" w:hAnsi="Arial" w:cs="Arial"/>
        </w:rPr>
        <w:t xml:space="preserve">único </w:t>
      </w:r>
      <w:r w:rsidR="006B38F7" w:rsidRPr="00D46DFE">
        <w:rPr>
          <w:rFonts w:ascii="Arial" w:hAnsi="Arial" w:cs="Arial"/>
        </w:rPr>
        <w:t>proveedor,</w:t>
      </w:r>
      <w:r w:rsidR="00516671">
        <w:rPr>
          <w:rFonts w:ascii="Arial" w:hAnsi="Arial" w:cs="Arial"/>
        </w:rPr>
        <w:t xml:space="preserve"> la Subdirección de Diseño, Evaluación y Sistematización no emit</w:t>
      </w:r>
      <w:r w:rsidR="00FE6D12">
        <w:rPr>
          <w:rFonts w:ascii="Arial" w:hAnsi="Arial" w:cs="Arial"/>
        </w:rPr>
        <w:t>e</w:t>
      </w:r>
      <w:r w:rsidR="00516671">
        <w:rPr>
          <w:rFonts w:ascii="Arial" w:hAnsi="Arial" w:cs="Arial"/>
        </w:rPr>
        <w:t xml:space="preserve"> concepto de viabilidad y </w:t>
      </w:r>
      <w:r w:rsidR="006B38F7" w:rsidRPr="00D46DFE">
        <w:rPr>
          <w:rFonts w:ascii="Arial" w:hAnsi="Arial" w:cs="Arial"/>
        </w:rPr>
        <w:t xml:space="preserve">se debe sustentar técnicamente </w:t>
      </w:r>
      <w:r w:rsidR="00516671">
        <w:rPr>
          <w:rFonts w:ascii="Arial" w:hAnsi="Arial" w:cs="Arial"/>
        </w:rPr>
        <w:t>ante el Comité de Contratación</w:t>
      </w:r>
      <w:r w:rsidR="005A7AA9">
        <w:rPr>
          <w:rFonts w:ascii="Arial" w:hAnsi="Arial" w:cs="Arial"/>
        </w:rPr>
        <w:t xml:space="preserve">. </w:t>
      </w:r>
    </w:p>
    <w:p w14:paraId="79DD252C" w14:textId="33E80AC3" w:rsidR="00FE758F" w:rsidRDefault="00FE758F" w:rsidP="00BC7774">
      <w:pPr>
        <w:pStyle w:val="Prrafodelista"/>
        <w:spacing w:after="0" w:line="240" w:lineRule="auto"/>
        <w:ind w:left="567" w:hanging="567"/>
        <w:jc w:val="both"/>
        <w:rPr>
          <w:rFonts w:ascii="Arial" w:hAnsi="Arial" w:cs="Arial"/>
        </w:rPr>
      </w:pPr>
    </w:p>
    <w:p w14:paraId="3B16DB42" w14:textId="7E269855" w:rsidR="0061180C" w:rsidRDefault="00CC194D" w:rsidP="00BC7774">
      <w:pPr>
        <w:pStyle w:val="Prrafodelista"/>
        <w:numPr>
          <w:ilvl w:val="1"/>
          <w:numId w:val="11"/>
        </w:numPr>
        <w:spacing w:after="0" w:line="240" w:lineRule="auto"/>
        <w:ind w:left="567" w:hanging="567"/>
        <w:jc w:val="both"/>
        <w:rPr>
          <w:rFonts w:ascii="Arial" w:hAnsi="Arial" w:cs="Arial"/>
        </w:rPr>
      </w:pPr>
      <w:r w:rsidRPr="0027100A">
        <w:rPr>
          <w:rFonts w:ascii="Arial" w:hAnsi="Arial" w:cs="Arial"/>
        </w:rPr>
        <w:t xml:space="preserve">En el caso </w:t>
      </w:r>
      <w:r>
        <w:rPr>
          <w:rFonts w:ascii="Arial" w:hAnsi="Arial" w:cs="Arial"/>
        </w:rPr>
        <w:t xml:space="preserve">en </w:t>
      </w:r>
      <w:r w:rsidRPr="0027100A">
        <w:rPr>
          <w:rFonts w:ascii="Arial" w:hAnsi="Arial" w:cs="Arial"/>
        </w:rPr>
        <w:t xml:space="preserve">que el </w:t>
      </w:r>
      <w:r>
        <w:rPr>
          <w:rFonts w:ascii="Arial" w:hAnsi="Arial" w:cs="Arial"/>
        </w:rPr>
        <w:t>Gerente del proyecto, Subdirector Técnico o su delegado</w:t>
      </w:r>
      <w:r w:rsidRPr="0027100A">
        <w:rPr>
          <w:rFonts w:ascii="Arial" w:hAnsi="Arial" w:cs="Arial"/>
        </w:rPr>
        <w:t xml:space="preserve"> determine en los estudios técnicos, legales y financieros </w:t>
      </w:r>
      <w:r>
        <w:rPr>
          <w:rFonts w:ascii="Arial" w:hAnsi="Arial" w:cs="Arial"/>
        </w:rPr>
        <w:t>que la idoneidad del proveedor es el único factor de selección</w:t>
      </w:r>
      <w:r w:rsidRPr="00D46DFE">
        <w:rPr>
          <w:rFonts w:ascii="Arial" w:hAnsi="Arial" w:cs="Arial"/>
        </w:rPr>
        <w:t>,</w:t>
      </w:r>
      <w:r>
        <w:rPr>
          <w:rFonts w:ascii="Arial" w:hAnsi="Arial" w:cs="Arial"/>
        </w:rPr>
        <w:t xml:space="preserve"> la Subdirección de Diseño, Evaluación y Sistematización no emit</w:t>
      </w:r>
      <w:r w:rsidR="00FE6D12">
        <w:rPr>
          <w:rFonts w:ascii="Arial" w:hAnsi="Arial" w:cs="Arial"/>
        </w:rPr>
        <w:t>e</w:t>
      </w:r>
      <w:r>
        <w:rPr>
          <w:rFonts w:ascii="Arial" w:hAnsi="Arial" w:cs="Arial"/>
        </w:rPr>
        <w:t xml:space="preserve"> concepto de viabilidad y </w:t>
      </w:r>
      <w:r w:rsidRPr="00D46DFE">
        <w:rPr>
          <w:rFonts w:ascii="Arial" w:hAnsi="Arial" w:cs="Arial"/>
        </w:rPr>
        <w:t xml:space="preserve">se debe sustentar técnicamente </w:t>
      </w:r>
      <w:r>
        <w:rPr>
          <w:rFonts w:ascii="Arial" w:hAnsi="Arial" w:cs="Arial"/>
        </w:rPr>
        <w:t xml:space="preserve">ante el Comité de Contratación. </w:t>
      </w:r>
    </w:p>
    <w:p w14:paraId="3237F657" w14:textId="77777777" w:rsidR="00CC194D" w:rsidRPr="00072852" w:rsidRDefault="00CC194D" w:rsidP="00BC7774">
      <w:pPr>
        <w:spacing w:after="0" w:line="240" w:lineRule="auto"/>
        <w:ind w:left="567" w:hanging="567"/>
        <w:jc w:val="both"/>
        <w:rPr>
          <w:rFonts w:ascii="Arial" w:hAnsi="Arial" w:cs="Arial"/>
        </w:rPr>
      </w:pPr>
    </w:p>
    <w:p w14:paraId="27F227BF" w14:textId="2BC6FBC6" w:rsidR="00DD6AF2" w:rsidRDefault="00B15187" w:rsidP="00BC7774">
      <w:pPr>
        <w:pStyle w:val="Prrafodelista"/>
        <w:numPr>
          <w:ilvl w:val="1"/>
          <w:numId w:val="11"/>
        </w:numPr>
        <w:tabs>
          <w:tab w:val="left" w:pos="709"/>
        </w:tabs>
        <w:spacing w:after="0" w:line="240" w:lineRule="auto"/>
        <w:ind w:left="567" w:hanging="567"/>
        <w:jc w:val="both"/>
        <w:rPr>
          <w:rFonts w:ascii="Arial" w:hAnsi="Arial" w:cs="Arial"/>
        </w:rPr>
      </w:pPr>
      <w:r>
        <w:rPr>
          <w:rFonts w:ascii="Arial" w:hAnsi="Arial" w:cs="Arial"/>
        </w:rPr>
        <w:t xml:space="preserve">Para los casos de </w:t>
      </w:r>
      <w:r w:rsidR="007F29B8">
        <w:rPr>
          <w:rFonts w:ascii="Arial" w:hAnsi="Arial" w:cs="Arial"/>
        </w:rPr>
        <w:t xml:space="preserve">contratos o </w:t>
      </w:r>
      <w:r>
        <w:rPr>
          <w:rFonts w:ascii="Arial" w:hAnsi="Arial" w:cs="Arial"/>
        </w:rPr>
        <w:t xml:space="preserve">convenios de cooperación internacional </w:t>
      </w:r>
      <w:r w:rsidR="004303BE">
        <w:rPr>
          <w:rFonts w:ascii="Arial" w:hAnsi="Arial" w:cs="Arial"/>
        </w:rPr>
        <w:t>que se encuentren</w:t>
      </w:r>
      <w:r w:rsidR="00F018DF">
        <w:rPr>
          <w:rFonts w:ascii="Arial" w:hAnsi="Arial" w:cs="Arial"/>
        </w:rPr>
        <w:t xml:space="preserve"> </w:t>
      </w:r>
      <w:r w:rsidR="004303BE" w:rsidRPr="004303BE">
        <w:rPr>
          <w:rFonts w:ascii="Arial" w:hAnsi="Arial" w:cs="Arial"/>
        </w:rPr>
        <w:t>financiados en su totalidad o en sumas iguales o superiores al cincuenta por ciento (50%) con fondos de los organismos de cooperación, asistencia o ayudas internacionales</w:t>
      </w:r>
      <w:r w:rsidR="004303BE">
        <w:rPr>
          <w:rFonts w:ascii="Arial" w:hAnsi="Arial" w:cs="Arial"/>
        </w:rPr>
        <w:t xml:space="preserve">, </w:t>
      </w:r>
      <w:r w:rsidR="007E75A2">
        <w:rPr>
          <w:rFonts w:ascii="Arial" w:hAnsi="Arial" w:cs="Arial"/>
        </w:rPr>
        <w:t>n</w:t>
      </w:r>
      <w:r w:rsidR="00773EC3">
        <w:rPr>
          <w:rFonts w:ascii="Arial" w:hAnsi="Arial" w:cs="Arial"/>
        </w:rPr>
        <w:t>o</w:t>
      </w:r>
      <w:r w:rsidR="005A7AA9" w:rsidRPr="005A7AA9">
        <w:rPr>
          <w:rFonts w:ascii="Arial" w:hAnsi="Arial" w:cs="Arial"/>
        </w:rPr>
        <w:t xml:space="preserve"> </w:t>
      </w:r>
      <w:r w:rsidR="00FE6D12">
        <w:rPr>
          <w:rFonts w:ascii="Arial" w:hAnsi="Arial" w:cs="Arial"/>
        </w:rPr>
        <w:t>e</w:t>
      </w:r>
      <w:r w:rsidR="005A7AA9" w:rsidRPr="005A7AA9">
        <w:rPr>
          <w:rFonts w:ascii="Arial" w:hAnsi="Arial" w:cs="Arial"/>
        </w:rPr>
        <w:t xml:space="preserve">s necesaria la viabilidad de </w:t>
      </w:r>
      <w:r w:rsidR="00927FF9">
        <w:rPr>
          <w:rFonts w:ascii="Arial" w:hAnsi="Arial" w:cs="Arial"/>
        </w:rPr>
        <w:t>precios de referencia</w:t>
      </w:r>
      <w:r w:rsidR="005A7AA9" w:rsidRPr="005A7AA9">
        <w:rPr>
          <w:rFonts w:ascii="Arial" w:hAnsi="Arial" w:cs="Arial"/>
        </w:rPr>
        <w:t xml:space="preserve"> por parte de </w:t>
      </w:r>
      <w:r w:rsidR="00BC1636">
        <w:rPr>
          <w:rFonts w:ascii="Arial" w:hAnsi="Arial" w:cs="Arial"/>
        </w:rPr>
        <w:t xml:space="preserve">Subdirección de </w:t>
      </w:r>
      <w:r w:rsidR="00423DCA">
        <w:rPr>
          <w:rFonts w:ascii="Arial" w:hAnsi="Arial" w:cs="Arial"/>
        </w:rPr>
        <w:t>D</w:t>
      </w:r>
      <w:r w:rsidR="00BC1636">
        <w:rPr>
          <w:rFonts w:ascii="Arial" w:hAnsi="Arial" w:cs="Arial"/>
        </w:rPr>
        <w:t>iseño</w:t>
      </w:r>
      <w:r w:rsidR="007E75A2">
        <w:rPr>
          <w:rFonts w:ascii="Arial" w:hAnsi="Arial" w:cs="Arial"/>
        </w:rPr>
        <w:t>,</w:t>
      </w:r>
      <w:r w:rsidR="00F018DF">
        <w:rPr>
          <w:rFonts w:ascii="Arial" w:hAnsi="Arial" w:cs="Arial"/>
        </w:rPr>
        <w:t xml:space="preserve"> </w:t>
      </w:r>
      <w:r w:rsidR="00423DCA">
        <w:rPr>
          <w:rFonts w:ascii="Arial" w:hAnsi="Arial" w:cs="Arial"/>
        </w:rPr>
        <w:t>E</w:t>
      </w:r>
      <w:r w:rsidR="00BC1636">
        <w:rPr>
          <w:rFonts w:ascii="Arial" w:hAnsi="Arial" w:cs="Arial"/>
        </w:rPr>
        <w:t xml:space="preserve">valuación y </w:t>
      </w:r>
      <w:r w:rsidR="00423DCA">
        <w:rPr>
          <w:rFonts w:ascii="Arial" w:hAnsi="Arial" w:cs="Arial"/>
        </w:rPr>
        <w:t>S</w:t>
      </w:r>
      <w:r w:rsidR="00BC1636">
        <w:rPr>
          <w:rFonts w:ascii="Arial" w:hAnsi="Arial" w:cs="Arial"/>
        </w:rPr>
        <w:t>istematización</w:t>
      </w:r>
      <w:r w:rsidR="00AB0E6A">
        <w:rPr>
          <w:rFonts w:ascii="Arial" w:hAnsi="Arial" w:cs="Arial"/>
        </w:rPr>
        <w:t xml:space="preserve">, </w:t>
      </w:r>
      <w:r w:rsidR="00191F10">
        <w:rPr>
          <w:rFonts w:ascii="Arial" w:hAnsi="Arial" w:cs="Arial"/>
        </w:rPr>
        <w:t>p</w:t>
      </w:r>
      <w:r w:rsidR="00191F10" w:rsidRPr="00191F10">
        <w:rPr>
          <w:rFonts w:ascii="Arial" w:hAnsi="Arial" w:cs="Arial"/>
        </w:rPr>
        <w:t xml:space="preserve">or lo </w:t>
      </w:r>
      <w:r w:rsidR="00191F10">
        <w:rPr>
          <w:rFonts w:ascii="Arial" w:hAnsi="Arial" w:cs="Arial"/>
        </w:rPr>
        <w:t>cual</w:t>
      </w:r>
      <w:r w:rsidR="00191F10" w:rsidRPr="00191F10">
        <w:rPr>
          <w:rFonts w:ascii="Arial" w:hAnsi="Arial" w:cs="Arial"/>
        </w:rPr>
        <w:t xml:space="preserve">, </w:t>
      </w:r>
      <w:r w:rsidR="00FE6D12">
        <w:rPr>
          <w:rFonts w:ascii="Arial" w:hAnsi="Arial" w:cs="Arial"/>
        </w:rPr>
        <w:t>e</w:t>
      </w:r>
      <w:r w:rsidR="00191F10" w:rsidRPr="00E96301">
        <w:rPr>
          <w:rFonts w:ascii="Arial" w:hAnsi="Arial" w:cs="Arial"/>
        </w:rPr>
        <w:t>s de responsabilidad del área técnica respectiva.</w:t>
      </w:r>
    </w:p>
    <w:p w14:paraId="0FEB9073" w14:textId="77777777" w:rsidR="0027100A" w:rsidRDefault="0027100A" w:rsidP="00BC7774">
      <w:pPr>
        <w:pStyle w:val="Prrafodelista"/>
        <w:spacing w:after="0" w:line="240" w:lineRule="auto"/>
        <w:ind w:left="567" w:hanging="567"/>
        <w:jc w:val="both"/>
        <w:rPr>
          <w:rFonts w:ascii="Arial" w:hAnsi="Arial" w:cs="Arial"/>
        </w:rPr>
      </w:pPr>
    </w:p>
    <w:p w14:paraId="5B1138E2" w14:textId="551C8DC6" w:rsidR="006B38F7" w:rsidRDefault="006B38F7" w:rsidP="00BC7774">
      <w:pPr>
        <w:pStyle w:val="Prrafodelista"/>
        <w:numPr>
          <w:ilvl w:val="1"/>
          <w:numId w:val="11"/>
        </w:numPr>
        <w:spacing w:after="0" w:line="240" w:lineRule="auto"/>
        <w:ind w:left="567" w:hanging="567"/>
        <w:jc w:val="both"/>
        <w:rPr>
          <w:rFonts w:ascii="Arial" w:hAnsi="Arial" w:cs="Arial"/>
        </w:rPr>
      </w:pPr>
      <w:r w:rsidRPr="006B38F7">
        <w:rPr>
          <w:rFonts w:ascii="Arial" w:hAnsi="Arial" w:cs="Arial"/>
        </w:rPr>
        <w:t>Se debe radicar en la Subdirección de Diseñ</w:t>
      </w:r>
      <w:r w:rsidR="00B82B7D">
        <w:rPr>
          <w:rFonts w:ascii="Arial" w:hAnsi="Arial" w:cs="Arial"/>
        </w:rPr>
        <w:t>o, Evaluación y Sistematización</w:t>
      </w:r>
      <w:r w:rsidRPr="006B38F7">
        <w:rPr>
          <w:rFonts w:ascii="Arial" w:hAnsi="Arial" w:cs="Arial"/>
        </w:rPr>
        <w:t xml:space="preserve"> un memorando de solicitud de concepto de viabilidad </w:t>
      </w:r>
      <w:r w:rsidR="00C84087">
        <w:rPr>
          <w:rFonts w:ascii="Arial" w:hAnsi="Arial" w:cs="Arial"/>
        </w:rPr>
        <w:t xml:space="preserve">de </w:t>
      </w:r>
      <w:r w:rsidR="00403E70">
        <w:rPr>
          <w:rFonts w:ascii="Arial" w:hAnsi="Arial" w:cs="Arial"/>
        </w:rPr>
        <w:t>precios de referencia</w:t>
      </w:r>
      <w:r w:rsidRPr="006B38F7">
        <w:rPr>
          <w:rFonts w:ascii="Arial" w:hAnsi="Arial" w:cs="Arial"/>
        </w:rPr>
        <w:t xml:space="preserve">, junto con </w:t>
      </w:r>
      <w:r w:rsidR="00403E70">
        <w:rPr>
          <w:rFonts w:ascii="Arial" w:hAnsi="Arial" w:cs="Arial"/>
        </w:rPr>
        <w:t>los soportes</w:t>
      </w:r>
      <w:r w:rsidR="00BD0A56">
        <w:rPr>
          <w:rFonts w:ascii="Arial" w:hAnsi="Arial" w:cs="Arial"/>
        </w:rPr>
        <w:t xml:space="preserve"> teniendo en c</w:t>
      </w:r>
      <w:r w:rsidRPr="006B38F7">
        <w:rPr>
          <w:rFonts w:ascii="Arial" w:hAnsi="Arial" w:cs="Arial"/>
        </w:rPr>
        <w:t>uenta los siguientes parámetros:</w:t>
      </w:r>
    </w:p>
    <w:p w14:paraId="6B300B33" w14:textId="77777777" w:rsidR="008744A3" w:rsidRDefault="00EF702C" w:rsidP="00586EA9">
      <w:pPr>
        <w:pStyle w:val="Prrafodelista"/>
        <w:numPr>
          <w:ilvl w:val="0"/>
          <w:numId w:val="13"/>
        </w:numPr>
        <w:spacing w:after="0" w:line="240" w:lineRule="auto"/>
        <w:jc w:val="both"/>
        <w:rPr>
          <w:rFonts w:ascii="Arial" w:hAnsi="Arial" w:cs="Arial"/>
        </w:rPr>
      </w:pPr>
      <w:r w:rsidRPr="008744A3">
        <w:rPr>
          <w:rFonts w:ascii="Arial" w:hAnsi="Arial" w:cs="Arial"/>
        </w:rPr>
        <w:t>El memorando debe especificar</w:t>
      </w:r>
      <w:r w:rsidR="008744A3" w:rsidRPr="008744A3">
        <w:rPr>
          <w:rFonts w:ascii="Arial" w:hAnsi="Arial" w:cs="Arial"/>
        </w:rPr>
        <w:t xml:space="preserve">: i) la meta asociada al proceso de adquisición del bien o servicio y </w:t>
      </w:r>
      <w:r w:rsidR="00927FF9" w:rsidRPr="008744A3">
        <w:rPr>
          <w:rFonts w:ascii="Arial" w:hAnsi="Arial" w:cs="Arial"/>
        </w:rPr>
        <w:t>cómo</w:t>
      </w:r>
      <w:r w:rsidR="00297BF9">
        <w:rPr>
          <w:rFonts w:ascii="Arial" w:hAnsi="Arial" w:cs="Arial"/>
        </w:rPr>
        <w:t xml:space="preserve"> </w:t>
      </w:r>
      <w:r w:rsidR="008744A3">
        <w:rPr>
          <w:rFonts w:ascii="Arial" w:hAnsi="Arial" w:cs="Arial"/>
        </w:rPr>
        <w:t>afecta</w:t>
      </w:r>
      <w:r w:rsidR="00297BF9">
        <w:rPr>
          <w:rFonts w:ascii="Arial" w:hAnsi="Arial" w:cs="Arial"/>
        </w:rPr>
        <w:t xml:space="preserve"> </w:t>
      </w:r>
      <w:r w:rsidR="008744A3">
        <w:rPr>
          <w:rFonts w:ascii="Arial" w:hAnsi="Arial" w:cs="Arial"/>
        </w:rPr>
        <w:t xml:space="preserve">al </w:t>
      </w:r>
      <w:r w:rsidR="008744A3" w:rsidRPr="008744A3">
        <w:rPr>
          <w:rFonts w:ascii="Arial" w:hAnsi="Arial" w:cs="Arial"/>
        </w:rPr>
        <w:t>proyecto de inversión al cual pertenece; ii) el objet</w:t>
      </w:r>
      <w:r w:rsidR="008744A3">
        <w:rPr>
          <w:rFonts w:ascii="Arial" w:hAnsi="Arial" w:cs="Arial"/>
        </w:rPr>
        <w:t>o contractual; y iii) explicación de la metodología empleada</w:t>
      </w:r>
      <w:r w:rsidR="008744A3" w:rsidRPr="008744A3">
        <w:rPr>
          <w:rFonts w:ascii="Arial" w:hAnsi="Arial" w:cs="Arial"/>
        </w:rPr>
        <w:t xml:space="preserve"> para el cálculo de los precios de referencia.</w:t>
      </w:r>
    </w:p>
    <w:p w14:paraId="101AEA76" w14:textId="77777777" w:rsidR="00FE6D12" w:rsidRPr="008744A3" w:rsidRDefault="00FE6D12" w:rsidP="00342145">
      <w:pPr>
        <w:pStyle w:val="Prrafodelista"/>
        <w:spacing w:after="0" w:line="240" w:lineRule="auto"/>
        <w:jc w:val="both"/>
        <w:rPr>
          <w:rFonts w:ascii="Arial" w:hAnsi="Arial" w:cs="Arial"/>
        </w:rPr>
      </w:pPr>
    </w:p>
    <w:p w14:paraId="57149779" w14:textId="06951964" w:rsidR="006B38F7" w:rsidRDefault="006B38F7" w:rsidP="00586EA9">
      <w:pPr>
        <w:pStyle w:val="Prrafodelista"/>
        <w:numPr>
          <w:ilvl w:val="0"/>
          <w:numId w:val="13"/>
        </w:numPr>
        <w:spacing w:after="0" w:line="240" w:lineRule="auto"/>
        <w:jc w:val="both"/>
        <w:rPr>
          <w:rFonts w:ascii="Arial" w:hAnsi="Arial" w:cs="Arial"/>
        </w:rPr>
      </w:pPr>
      <w:r w:rsidRPr="006B38F7">
        <w:rPr>
          <w:rFonts w:ascii="Arial" w:hAnsi="Arial" w:cs="Arial"/>
        </w:rPr>
        <w:t>L</w:t>
      </w:r>
      <w:r w:rsidR="009D6644">
        <w:rPr>
          <w:rFonts w:ascii="Arial" w:hAnsi="Arial" w:cs="Arial"/>
        </w:rPr>
        <w:t xml:space="preserve">a solicitud </w:t>
      </w:r>
      <w:r w:rsidR="004E3215">
        <w:rPr>
          <w:rFonts w:ascii="Arial" w:hAnsi="Arial" w:cs="Arial"/>
        </w:rPr>
        <w:t xml:space="preserve">de </w:t>
      </w:r>
      <w:r w:rsidR="009D6644">
        <w:rPr>
          <w:rFonts w:ascii="Arial" w:hAnsi="Arial" w:cs="Arial"/>
        </w:rPr>
        <w:t>viabilidad</w:t>
      </w:r>
      <w:r w:rsidR="00325F4B">
        <w:rPr>
          <w:rFonts w:ascii="Arial" w:hAnsi="Arial" w:cs="Arial"/>
        </w:rPr>
        <w:t xml:space="preserve"> de precios de referencia</w:t>
      </w:r>
      <w:r w:rsidR="00297BF9">
        <w:rPr>
          <w:rFonts w:ascii="Arial" w:hAnsi="Arial" w:cs="Arial"/>
        </w:rPr>
        <w:t xml:space="preserve"> </w:t>
      </w:r>
      <w:r w:rsidR="009D6644">
        <w:rPr>
          <w:rFonts w:ascii="Arial" w:hAnsi="Arial" w:cs="Arial"/>
        </w:rPr>
        <w:t>tendrá</w:t>
      </w:r>
      <w:r w:rsidRPr="006B38F7">
        <w:rPr>
          <w:rFonts w:ascii="Arial" w:hAnsi="Arial" w:cs="Arial"/>
        </w:rPr>
        <w:t xml:space="preserve"> como fecha límite para su radicación </w:t>
      </w:r>
      <w:r w:rsidR="00B0354D">
        <w:rPr>
          <w:rFonts w:ascii="Arial" w:hAnsi="Arial" w:cs="Arial"/>
        </w:rPr>
        <w:t>quince</w:t>
      </w:r>
      <w:r w:rsidR="00773EC3" w:rsidRPr="006B38F7">
        <w:rPr>
          <w:rFonts w:ascii="Arial" w:hAnsi="Arial" w:cs="Arial"/>
        </w:rPr>
        <w:t xml:space="preserve"> (</w:t>
      </w:r>
      <w:r w:rsidR="00A300C1">
        <w:rPr>
          <w:rFonts w:ascii="Arial" w:hAnsi="Arial" w:cs="Arial"/>
        </w:rPr>
        <w:t>15</w:t>
      </w:r>
      <w:r w:rsidRPr="006B38F7">
        <w:rPr>
          <w:rFonts w:ascii="Arial" w:hAnsi="Arial" w:cs="Arial"/>
        </w:rPr>
        <w:t>) días hábiles antes de la terminación de la operación del servicio en el caso que se genere</w:t>
      </w:r>
      <w:r w:rsidR="000C1698">
        <w:rPr>
          <w:rFonts w:ascii="Arial" w:hAnsi="Arial" w:cs="Arial"/>
        </w:rPr>
        <w:t xml:space="preserve"> por</w:t>
      </w:r>
      <w:r w:rsidRPr="006B38F7">
        <w:rPr>
          <w:rFonts w:ascii="Arial" w:hAnsi="Arial" w:cs="Arial"/>
        </w:rPr>
        <w:t xml:space="preserve"> continuidad del mismo.</w:t>
      </w:r>
    </w:p>
    <w:p w14:paraId="4D0EA25B" w14:textId="3ED11391" w:rsidR="006B38F7" w:rsidRDefault="006B38F7" w:rsidP="00586EA9">
      <w:pPr>
        <w:pStyle w:val="Prrafodelista"/>
        <w:numPr>
          <w:ilvl w:val="0"/>
          <w:numId w:val="13"/>
        </w:numPr>
        <w:spacing w:after="0" w:line="240" w:lineRule="auto"/>
        <w:jc w:val="both"/>
        <w:rPr>
          <w:rFonts w:ascii="Arial" w:hAnsi="Arial" w:cs="Arial"/>
        </w:rPr>
      </w:pPr>
      <w:r w:rsidRPr="00B97B12">
        <w:rPr>
          <w:rFonts w:ascii="Arial" w:hAnsi="Arial" w:cs="Arial"/>
        </w:rPr>
        <w:lastRenderedPageBreak/>
        <w:t xml:space="preserve">En caso de requerirse la aprobación de la </w:t>
      </w:r>
      <w:r w:rsidR="009D6644">
        <w:rPr>
          <w:rFonts w:ascii="Arial" w:hAnsi="Arial" w:cs="Arial"/>
        </w:rPr>
        <w:t>viabilidad</w:t>
      </w:r>
      <w:r w:rsidR="004E3215">
        <w:rPr>
          <w:rFonts w:ascii="Arial" w:hAnsi="Arial" w:cs="Arial"/>
        </w:rPr>
        <w:t xml:space="preserve"> de precios de referencia </w:t>
      </w:r>
      <w:r w:rsidR="00191F10">
        <w:rPr>
          <w:rFonts w:ascii="Arial" w:hAnsi="Arial" w:cs="Arial"/>
        </w:rPr>
        <w:t xml:space="preserve">con menos días de los </w:t>
      </w:r>
      <w:r w:rsidRPr="00B97B12">
        <w:rPr>
          <w:rFonts w:ascii="Arial" w:hAnsi="Arial" w:cs="Arial"/>
        </w:rPr>
        <w:t xml:space="preserve">mencionados en el </w:t>
      </w:r>
      <w:r w:rsidR="00CA447C">
        <w:rPr>
          <w:rFonts w:ascii="Arial" w:hAnsi="Arial" w:cs="Arial"/>
        </w:rPr>
        <w:t>literal</w:t>
      </w:r>
      <w:r w:rsidRPr="00B97B12">
        <w:rPr>
          <w:rFonts w:ascii="Arial" w:hAnsi="Arial" w:cs="Arial"/>
        </w:rPr>
        <w:t xml:space="preserve"> anterior, debe justificarse </w:t>
      </w:r>
      <w:r w:rsidR="00CA447C" w:rsidRPr="00B97B12">
        <w:rPr>
          <w:rFonts w:ascii="Arial" w:hAnsi="Arial" w:cs="Arial"/>
        </w:rPr>
        <w:t xml:space="preserve">la urgencia de la </w:t>
      </w:r>
      <w:r w:rsidR="00CA447C">
        <w:rPr>
          <w:rFonts w:ascii="Arial" w:hAnsi="Arial" w:cs="Arial"/>
        </w:rPr>
        <w:t>aprobación</w:t>
      </w:r>
      <w:r w:rsidR="00297BF9">
        <w:rPr>
          <w:rFonts w:ascii="Arial" w:hAnsi="Arial" w:cs="Arial"/>
        </w:rPr>
        <w:t xml:space="preserve"> </w:t>
      </w:r>
      <w:r w:rsidRPr="00B97B12">
        <w:rPr>
          <w:rFonts w:ascii="Arial" w:hAnsi="Arial" w:cs="Arial"/>
        </w:rPr>
        <w:t>me</w:t>
      </w:r>
      <w:r w:rsidR="00927FF9">
        <w:rPr>
          <w:rFonts w:ascii="Arial" w:hAnsi="Arial" w:cs="Arial"/>
        </w:rPr>
        <w:t>diante memorando por parte del g</w:t>
      </w:r>
      <w:r w:rsidRPr="00B97B12">
        <w:rPr>
          <w:rFonts w:ascii="Arial" w:hAnsi="Arial" w:cs="Arial"/>
        </w:rPr>
        <w:t xml:space="preserve">erente del </w:t>
      </w:r>
      <w:r w:rsidR="00927FF9">
        <w:rPr>
          <w:rFonts w:ascii="Arial" w:hAnsi="Arial" w:cs="Arial"/>
        </w:rPr>
        <w:t>p</w:t>
      </w:r>
      <w:r w:rsidRPr="00B97B12">
        <w:rPr>
          <w:rFonts w:ascii="Arial" w:hAnsi="Arial" w:cs="Arial"/>
        </w:rPr>
        <w:t>royecto, la cual permit</w:t>
      </w:r>
      <w:r w:rsidR="00FE6D12">
        <w:rPr>
          <w:rFonts w:ascii="Arial" w:hAnsi="Arial" w:cs="Arial"/>
        </w:rPr>
        <w:t>e</w:t>
      </w:r>
      <w:r w:rsidRPr="00B97B12">
        <w:rPr>
          <w:rFonts w:ascii="Arial" w:hAnsi="Arial" w:cs="Arial"/>
        </w:rPr>
        <w:t xml:space="preserve"> determinar la excepcionalidad para emitir concepto de viabilidad. </w:t>
      </w:r>
    </w:p>
    <w:p w14:paraId="096F5BA1" w14:textId="77777777" w:rsidR="00FE6D12" w:rsidRDefault="00FE6D12" w:rsidP="00342145">
      <w:pPr>
        <w:pStyle w:val="Prrafodelista"/>
        <w:spacing w:after="0" w:line="240" w:lineRule="auto"/>
        <w:jc w:val="both"/>
        <w:rPr>
          <w:rFonts w:ascii="Arial" w:hAnsi="Arial" w:cs="Arial"/>
        </w:rPr>
      </w:pPr>
    </w:p>
    <w:p w14:paraId="0DA3EEDC" w14:textId="127FE1DE" w:rsidR="006B38F7" w:rsidRDefault="006B38F7" w:rsidP="006933C9">
      <w:pPr>
        <w:pStyle w:val="Prrafodelista"/>
        <w:numPr>
          <w:ilvl w:val="0"/>
          <w:numId w:val="13"/>
        </w:numPr>
        <w:spacing w:after="0" w:line="240" w:lineRule="auto"/>
        <w:ind w:left="709" w:hanging="349"/>
        <w:jc w:val="both"/>
        <w:rPr>
          <w:rFonts w:ascii="Arial" w:hAnsi="Arial" w:cs="Arial"/>
        </w:rPr>
      </w:pPr>
      <w:r w:rsidRPr="00BD0A56">
        <w:rPr>
          <w:rFonts w:ascii="Arial" w:hAnsi="Arial" w:cs="Arial"/>
        </w:rPr>
        <w:t xml:space="preserve">La radicación </w:t>
      </w:r>
      <w:r w:rsidR="009D6644">
        <w:rPr>
          <w:rFonts w:ascii="Arial" w:hAnsi="Arial" w:cs="Arial"/>
        </w:rPr>
        <w:t>de la solicitud de viabilidad de los precios de referencia</w:t>
      </w:r>
      <w:r w:rsidRPr="00BD0A56">
        <w:rPr>
          <w:rFonts w:ascii="Arial" w:hAnsi="Arial" w:cs="Arial"/>
        </w:rPr>
        <w:t xml:space="preserve"> debe venir acompañada de</w:t>
      </w:r>
      <w:r w:rsidR="000D7ADD">
        <w:rPr>
          <w:rFonts w:ascii="Arial" w:hAnsi="Arial" w:cs="Arial"/>
        </w:rPr>
        <w:t>l</w:t>
      </w:r>
      <w:r w:rsidRPr="00BD0A56">
        <w:rPr>
          <w:rFonts w:ascii="Arial" w:hAnsi="Arial" w:cs="Arial"/>
        </w:rPr>
        <w:t xml:space="preserve"> correo electrónico mediante el cual</w:t>
      </w:r>
      <w:r w:rsidR="002D654F">
        <w:rPr>
          <w:rFonts w:ascii="Arial" w:hAnsi="Arial" w:cs="Arial"/>
        </w:rPr>
        <w:t xml:space="preserve">, </w:t>
      </w:r>
      <w:r w:rsidRPr="00BD0A56">
        <w:rPr>
          <w:rFonts w:ascii="Arial" w:hAnsi="Arial" w:cs="Arial"/>
        </w:rPr>
        <w:t>se enviaron</w:t>
      </w:r>
      <w:r w:rsidR="00191F10">
        <w:rPr>
          <w:rFonts w:ascii="Arial" w:hAnsi="Arial" w:cs="Arial"/>
        </w:rPr>
        <w:t xml:space="preserve"> a la persona designada por la Subdirección de Diseño, Evaluación y Sistematización</w:t>
      </w:r>
      <w:r w:rsidR="002D654F">
        <w:rPr>
          <w:rFonts w:ascii="Arial" w:hAnsi="Arial" w:cs="Arial"/>
        </w:rPr>
        <w:t xml:space="preserve">, </w:t>
      </w:r>
      <w:r w:rsidRPr="00BD0A56">
        <w:rPr>
          <w:rFonts w:ascii="Arial" w:hAnsi="Arial" w:cs="Arial"/>
        </w:rPr>
        <w:t>los documentos anexos</w:t>
      </w:r>
      <w:r w:rsidR="002D654F">
        <w:rPr>
          <w:rFonts w:ascii="Arial" w:hAnsi="Arial" w:cs="Arial"/>
        </w:rPr>
        <w:t xml:space="preserve"> que se relacionan así</w:t>
      </w:r>
      <w:r w:rsidRPr="00BD0A56">
        <w:rPr>
          <w:rFonts w:ascii="Arial" w:hAnsi="Arial" w:cs="Arial"/>
        </w:rPr>
        <w:t xml:space="preserve">: </w:t>
      </w:r>
      <w:r w:rsidR="00954108">
        <w:rPr>
          <w:rFonts w:ascii="Arial" w:hAnsi="Arial" w:cs="Arial"/>
        </w:rPr>
        <w:t xml:space="preserve">Anexo 1: </w:t>
      </w:r>
      <w:r w:rsidR="007062E4" w:rsidRPr="007062E4">
        <w:rPr>
          <w:rFonts w:ascii="Arial" w:hAnsi="Arial" w:cs="Arial"/>
        </w:rPr>
        <w:t>Documento de validación de precios de referencia</w:t>
      </w:r>
      <w:r w:rsidR="007062E4">
        <w:rPr>
          <w:rFonts w:ascii="Arial" w:hAnsi="Arial" w:cs="Arial"/>
        </w:rPr>
        <w:t xml:space="preserve"> (túnel), </w:t>
      </w:r>
      <w:r w:rsidR="00730AD6">
        <w:rPr>
          <w:rFonts w:ascii="Arial" w:hAnsi="Arial" w:cs="Arial"/>
        </w:rPr>
        <w:t>estudios previos</w:t>
      </w:r>
      <w:r w:rsidRPr="00BD0A56">
        <w:rPr>
          <w:rFonts w:ascii="Arial" w:hAnsi="Arial" w:cs="Arial"/>
        </w:rPr>
        <w:t>, estudio de sector, anexo técnico, cotizaciones,</w:t>
      </w:r>
      <w:r w:rsidR="00BD0A56" w:rsidRPr="00BD0A56">
        <w:rPr>
          <w:rFonts w:ascii="Arial" w:hAnsi="Arial" w:cs="Arial"/>
        </w:rPr>
        <w:t xml:space="preserve"> </w:t>
      </w:r>
      <w:r w:rsidR="00BD0A56">
        <w:rPr>
          <w:rFonts w:ascii="Arial" w:hAnsi="Arial" w:cs="Arial"/>
        </w:rPr>
        <w:t>soportes y</w:t>
      </w:r>
      <w:r w:rsidR="00BD0A56" w:rsidRPr="00BD0A56">
        <w:rPr>
          <w:rFonts w:ascii="Arial" w:hAnsi="Arial" w:cs="Arial"/>
        </w:rPr>
        <w:t xml:space="preserve"> fuentes de información verificables</w:t>
      </w:r>
      <w:r w:rsidR="00730AD6">
        <w:rPr>
          <w:rFonts w:ascii="Arial" w:hAnsi="Arial" w:cs="Arial"/>
        </w:rPr>
        <w:t>.</w:t>
      </w:r>
    </w:p>
    <w:p w14:paraId="20376D78" w14:textId="77777777" w:rsidR="00FE6D12" w:rsidRDefault="00FE6D12" w:rsidP="00342145">
      <w:pPr>
        <w:pStyle w:val="Prrafodelista"/>
        <w:spacing w:after="0" w:line="240" w:lineRule="auto"/>
        <w:ind w:left="709"/>
        <w:jc w:val="both"/>
        <w:rPr>
          <w:rFonts w:ascii="Arial" w:hAnsi="Arial" w:cs="Arial"/>
        </w:rPr>
      </w:pPr>
    </w:p>
    <w:p w14:paraId="1C856501" w14:textId="25616793" w:rsidR="0037459A" w:rsidRPr="0037459A" w:rsidRDefault="0037459A" w:rsidP="00586EA9">
      <w:pPr>
        <w:pStyle w:val="Sangradetextonormal"/>
        <w:numPr>
          <w:ilvl w:val="0"/>
          <w:numId w:val="13"/>
        </w:numPr>
        <w:ind w:right="-29"/>
        <w:rPr>
          <w:rFonts w:ascii="Arial" w:hAnsi="Arial" w:cs="Arial"/>
        </w:rPr>
      </w:pPr>
      <w:r w:rsidRPr="0037459A">
        <w:rPr>
          <w:rFonts w:ascii="Arial" w:hAnsi="Arial" w:cs="Arial"/>
        </w:rPr>
        <w:t xml:space="preserve">Durante el análisis de solicitud de la viabilidad de precios de referencia, el equipo de trabajo de </w:t>
      </w:r>
      <w:r w:rsidR="00BF616D">
        <w:rPr>
          <w:rFonts w:ascii="Arial" w:hAnsi="Arial" w:cs="Arial"/>
        </w:rPr>
        <w:t xml:space="preserve">la </w:t>
      </w:r>
      <w:r w:rsidR="00BF596B">
        <w:rPr>
          <w:rFonts w:ascii="Arial" w:hAnsi="Arial" w:cs="Arial"/>
        </w:rPr>
        <w:t xml:space="preserve">Subdirección de Diseño, Evaluación y </w:t>
      </w:r>
      <w:r w:rsidR="006933C9">
        <w:rPr>
          <w:rFonts w:ascii="Arial" w:hAnsi="Arial" w:cs="Arial"/>
        </w:rPr>
        <w:t xml:space="preserve">Sistematización </w:t>
      </w:r>
      <w:r w:rsidRPr="0037459A">
        <w:rPr>
          <w:rFonts w:ascii="Arial" w:hAnsi="Arial" w:cs="Arial"/>
        </w:rPr>
        <w:t xml:space="preserve">solicita la realización de mesas de trabajo y/o reuniones con el proyecto o área solicitante previo a la devolución </w:t>
      </w:r>
      <w:r>
        <w:rPr>
          <w:rFonts w:ascii="Arial" w:hAnsi="Arial" w:cs="Arial"/>
        </w:rPr>
        <w:t>cuando haya lugar.</w:t>
      </w:r>
    </w:p>
    <w:p w14:paraId="336727B4" w14:textId="77777777" w:rsidR="00FA5A7C" w:rsidRPr="00C0601E" w:rsidRDefault="00FA5A7C" w:rsidP="00586EA9">
      <w:pPr>
        <w:pStyle w:val="Prrafodelista"/>
        <w:spacing w:after="0" w:line="240" w:lineRule="auto"/>
        <w:rPr>
          <w:rFonts w:ascii="Arial" w:hAnsi="Arial" w:cs="Arial"/>
        </w:rPr>
      </w:pPr>
    </w:p>
    <w:p w14:paraId="79B3D33E" w14:textId="24CF46EC" w:rsidR="0022609F" w:rsidRDefault="00FA5A7C" w:rsidP="00586EA9">
      <w:pPr>
        <w:pStyle w:val="Sangradetextonormal"/>
        <w:numPr>
          <w:ilvl w:val="0"/>
          <w:numId w:val="13"/>
        </w:numPr>
        <w:ind w:right="-29"/>
        <w:rPr>
          <w:rFonts w:ascii="Arial" w:hAnsi="Arial" w:cs="Arial"/>
        </w:rPr>
      </w:pPr>
      <w:r w:rsidRPr="0022609F">
        <w:rPr>
          <w:rFonts w:ascii="Arial" w:hAnsi="Arial" w:cs="Arial"/>
        </w:rPr>
        <w:t xml:space="preserve">En </w:t>
      </w:r>
      <w:r w:rsidR="00830D71">
        <w:rPr>
          <w:rFonts w:ascii="Arial" w:hAnsi="Arial" w:cs="Arial"/>
        </w:rPr>
        <w:t>el c</w:t>
      </w:r>
      <w:r w:rsidRPr="0022609F">
        <w:rPr>
          <w:rFonts w:ascii="Arial" w:hAnsi="Arial" w:cs="Arial"/>
        </w:rPr>
        <w:t>aso</w:t>
      </w:r>
      <w:r w:rsidR="00830D71">
        <w:rPr>
          <w:rFonts w:ascii="Arial" w:hAnsi="Arial" w:cs="Arial"/>
        </w:rPr>
        <w:t xml:space="preserve"> que </w:t>
      </w:r>
      <w:r w:rsidRPr="0022609F">
        <w:rPr>
          <w:rFonts w:ascii="Arial" w:hAnsi="Arial" w:cs="Arial"/>
        </w:rPr>
        <w:t xml:space="preserve">la solicitud de </w:t>
      </w:r>
      <w:r w:rsidR="0022609F" w:rsidRPr="0022609F">
        <w:rPr>
          <w:rFonts w:ascii="Arial" w:hAnsi="Arial" w:cs="Arial"/>
        </w:rPr>
        <w:t xml:space="preserve">viabilidad de precios de </w:t>
      </w:r>
      <w:r w:rsidR="005329E7" w:rsidRPr="0022609F">
        <w:rPr>
          <w:rFonts w:ascii="Arial" w:hAnsi="Arial" w:cs="Arial"/>
        </w:rPr>
        <w:t>referencia</w:t>
      </w:r>
      <w:r w:rsidR="00830D71">
        <w:rPr>
          <w:rFonts w:ascii="Arial" w:hAnsi="Arial" w:cs="Arial"/>
        </w:rPr>
        <w:t xml:space="preserve"> requiera modificaciones</w:t>
      </w:r>
      <w:r w:rsidRPr="0022609F">
        <w:rPr>
          <w:rFonts w:ascii="Arial" w:hAnsi="Arial" w:cs="Arial"/>
        </w:rPr>
        <w:t xml:space="preserve">, el equipo técnico-administrativo </w:t>
      </w:r>
      <w:r w:rsidR="0022609F" w:rsidRPr="0022609F">
        <w:rPr>
          <w:rFonts w:ascii="Arial" w:hAnsi="Arial" w:cs="Arial"/>
        </w:rPr>
        <w:t>de cada proyecto</w:t>
      </w:r>
      <w:r w:rsidR="0022609F">
        <w:rPr>
          <w:rFonts w:ascii="Arial" w:hAnsi="Arial" w:cs="Arial"/>
        </w:rPr>
        <w:t xml:space="preserve"> o área</w:t>
      </w:r>
      <w:r w:rsidR="0022609F" w:rsidRPr="0037459A">
        <w:rPr>
          <w:rFonts w:ascii="Arial" w:hAnsi="Arial" w:cs="Arial"/>
        </w:rPr>
        <w:t xml:space="preserve">, </w:t>
      </w:r>
      <w:r w:rsidRPr="0022609F">
        <w:rPr>
          <w:rFonts w:ascii="Arial" w:hAnsi="Arial" w:cs="Arial"/>
        </w:rPr>
        <w:t>debe realizar los ajustes y seguir las recomendaciones formuladas</w:t>
      </w:r>
      <w:r w:rsidR="00830D71">
        <w:rPr>
          <w:rFonts w:ascii="Arial" w:hAnsi="Arial" w:cs="Arial"/>
        </w:rPr>
        <w:t>.</w:t>
      </w:r>
    </w:p>
    <w:p w14:paraId="7ACB1B97" w14:textId="77777777" w:rsidR="00FA5A7C" w:rsidRDefault="00FA5A7C" w:rsidP="00586EA9">
      <w:pPr>
        <w:pStyle w:val="Prrafodelista"/>
        <w:spacing w:after="0" w:line="240" w:lineRule="auto"/>
        <w:jc w:val="both"/>
        <w:rPr>
          <w:rFonts w:ascii="Arial" w:hAnsi="Arial" w:cs="Arial"/>
        </w:rPr>
      </w:pPr>
    </w:p>
    <w:p w14:paraId="41F78513" w14:textId="3C9E2010" w:rsidR="006B38F7" w:rsidRDefault="006B38F7" w:rsidP="00072852">
      <w:pPr>
        <w:pStyle w:val="Prrafodelista"/>
        <w:numPr>
          <w:ilvl w:val="1"/>
          <w:numId w:val="11"/>
        </w:numPr>
        <w:spacing w:after="0" w:line="240" w:lineRule="auto"/>
        <w:ind w:left="709" w:hanging="709"/>
        <w:jc w:val="both"/>
        <w:rPr>
          <w:rFonts w:ascii="Arial" w:hAnsi="Arial" w:cs="Arial"/>
        </w:rPr>
      </w:pPr>
      <w:r w:rsidRPr="001D3F49">
        <w:rPr>
          <w:rFonts w:ascii="Arial" w:hAnsi="Arial" w:cs="Arial"/>
        </w:rPr>
        <w:t xml:space="preserve">Una vez radicada </w:t>
      </w:r>
      <w:r w:rsidR="00927FF9">
        <w:rPr>
          <w:rFonts w:ascii="Arial" w:hAnsi="Arial" w:cs="Arial"/>
        </w:rPr>
        <w:t>la solicitud</w:t>
      </w:r>
      <w:r w:rsidR="00423DCA">
        <w:rPr>
          <w:rFonts w:ascii="Arial" w:hAnsi="Arial" w:cs="Arial"/>
        </w:rPr>
        <w:t xml:space="preserve"> se tomarán entre</w:t>
      </w:r>
      <w:r w:rsidR="000C1698">
        <w:rPr>
          <w:rFonts w:ascii="Arial" w:hAnsi="Arial" w:cs="Arial"/>
        </w:rPr>
        <w:t xml:space="preserve"> tres</w:t>
      </w:r>
      <w:r w:rsidR="00297BF9">
        <w:rPr>
          <w:rFonts w:ascii="Arial" w:hAnsi="Arial" w:cs="Arial"/>
        </w:rPr>
        <w:t xml:space="preserve"> </w:t>
      </w:r>
      <w:r w:rsidRPr="001D3F49">
        <w:rPr>
          <w:rFonts w:ascii="Arial" w:hAnsi="Arial" w:cs="Arial"/>
        </w:rPr>
        <w:t xml:space="preserve">(3) </w:t>
      </w:r>
      <w:r w:rsidR="00423DCA">
        <w:rPr>
          <w:rFonts w:ascii="Arial" w:hAnsi="Arial" w:cs="Arial"/>
        </w:rPr>
        <w:t xml:space="preserve">y ocho (8) </w:t>
      </w:r>
      <w:r w:rsidRPr="001D3F49">
        <w:rPr>
          <w:rFonts w:ascii="Arial" w:hAnsi="Arial" w:cs="Arial"/>
        </w:rPr>
        <w:t xml:space="preserve">días hábiles para la revisión, análisis y </w:t>
      </w:r>
      <w:r w:rsidR="000C1698">
        <w:rPr>
          <w:rFonts w:ascii="Arial" w:hAnsi="Arial" w:cs="Arial"/>
        </w:rPr>
        <w:t xml:space="preserve">emisión del </w:t>
      </w:r>
      <w:r w:rsidRPr="001D3F49">
        <w:rPr>
          <w:rFonts w:ascii="Arial" w:hAnsi="Arial" w:cs="Arial"/>
        </w:rPr>
        <w:t>concepto de</w:t>
      </w:r>
      <w:r w:rsidR="00713512" w:rsidRPr="001D3F49">
        <w:rPr>
          <w:rFonts w:ascii="Arial" w:hAnsi="Arial" w:cs="Arial"/>
        </w:rPr>
        <w:t xml:space="preserve"> viabilidad</w:t>
      </w:r>
      <w:r w:rsidR="00713512" w:rsidRPr="00B71F30">
        <w:rPr>
          <w:rStyle w:val="Refdenotaalpie"/>
          <w:rFonts w:ascii="Arial" w:eastAsia="Times New Roman" w:hAnsi="Arial" w:cs="Arial"/>
          <w:bCs/>
          <w:color w:val="000000"/>
          <w:sz w:val="18"/>
          <w:szCs w:val="20"/>
          <w:lang w:val="es-ES_tradnl" w:eastAsia="es-ES"/>
        </w:rPr>
        <w:footnoteReference w:id="11"/>
      </w:r>
      <w:r w:rsidR="007E75A2" w:rsidRPr="00B71F30">
        <w:rPr>
          <w:rStyle w:val="Refdenotaalpie"/>
          <w:rFonts w:ascii="Arial" w:eastAsia="Times New Roman" w:hAnsi="Arial" w:cs="Arial"/>
          <w:b/>
          <w:bCs/>
          <w:color w:val="000000"/>
          <w:szCs w:val="20"/>
          <w:lang w:val="es-ES_tradnl" w:eastAsia="es-ES"/>
        </w:rPr>
        <w:t>.</w:t>
      </w:r>
    </w:p>
    <w:p w14:paraId="4FB912CD" w14:textId="77777777" w:rsidR="007C12D0" w:rsidRDefault="007C12D0" w:rsidP="00586EA9">
      <w:pPr>
        <w:spacing w:after="0" w:line="240" w:lineRule="auto"/>
        <w:jc w:val="both"/>
        <w:rPr>
          <w:rFonts w:ascii="Arial" w:hAnsi="Arial" w:cs="Arial"/>
        </w:rPr>
      </w:pPr>
    </w:p>
    <w:p w14:paraId="1BE6E714" w14:textId="290A840C" w:rsidR="007C12D0" w:rsidRDefault="007C12D0" w:rsidP="005D46AA">
      <w:pPr>
        <w:pStyle w:val="Prrafodelista"/>
        <w:numPr>
          <w:ilvl w:val="1"/>
          <w:numId w:val="11"/>
        </w:numPr>
        <w:spacing w:after="0" w:line="240" w:lineRule="auto"/>
        <w:ind w:left="709" w:hanging="709"/>
        <w:jc w:val="both"/>
        <w:rPr>
          <w:rFonts w:ascii="Arial" w:hAnsi="Arial" w:cs="Arial"/>
        </w:rPr>
      </w:pPr>
      <w:r w:rsidRPr="00A8230B">
        <w:rPr>
          <w:rFonts w:ascii="Arial" w:hAnsi="Arial" w:cs="Arial"/>
        </w:rPr>
        <w:t>S</w:t>
      </w:r>
      <w:r w:rsidR="007E75A2" w:rsidRPr="00A8230B">
        <w:rPr>
          <w:rFonts w:ascii="Arial" w:hAnsi="Arial" w:cs="Arial"/>
        </w:rPr>
        <w:t xml:space="preserve">i tras el análisis de los documentos y soportes se identifica </w:t>
      </w:r>
      <w:r w:rsidRPr="00A8230B">
        <w:rPr>
          <w:rFonts w:ascii="Arial" w:hAnsi="Arial" w:cs="Arial"/>
        </w:rPr>
        <w:t>que la solicitud de viabilidad no cumple con los requerimientos establecidos en el presente procedimiento</w:t>
      </w:r>
      <w:r w:rsidR="00AE434D" w:rsidRPr="00A8230B">
        <w:rPr>
          <w:rFonts w:ascii="Arial" w:hAnsi="Arial" w:cs="Arial"/>
        </w:rPr>
        <w:t xml:space="preserve">, el lineamiento </w:t>
      </w:r>
      <w:r w:rsidR="00FE6D12">
        <w:rPr>
          <w:rFonts w:ascii="Arial" w:hAnsi="Arial" w:cs="Arial"/>
        </w:rPr>
        <w:t>I</w:t>
      </w:r>
      <w:r w:rsidR="00AE434D" w:rsidRPr="00A8230B">
        <w:rPr>
          <w:rFonts w:ascii="Arial" w:hAnsi="Arial" w:cs="Arial"/>
        </w:rPr>
        <w:t>dentificación de fuentes de información en la adquisición de bienes y servicios (LIN-PE-</w:t>
      </w:r>
      <w:r w:rsidR="004A4E89">
        <w:rPr>
          <w:rFonts w:ascii="Arial" w:hAnsi="Arial" w:cs="Arial"/>
        </w:rPr>
        <w:t>001</w:t>
      </w:r>
      <w:r w:rsidR="00AE434D" w:rsidRPr="00A8230B">
        <w:rPr>
          <w:rFonts w:ascii="Arial" w:hAnsi="Arial" w:cs="Arial"/>
        </w:rPr>
        <w:t xml:space="preserve">) e instructivo </w:t>
      </w:r>
      <w:r w:rsidR="00FE6D12">
        <w:rPr>
          <w:rFonts w:ascii="Arial" w:hAnsi="Arial" w:cs="Arial"/>
        </w:rPr>
        <w:t>V</w:t>
      </w:r>
      <w:r w:rsidR="00AE434D" w:rsidRPr="00A8230B">
        <w:rPr>
          <w:rFonts w:ascii="Arial" w:hAnsi="Arial" w:cs="Arial"/>
        </w:rPr>
        <w:t>iabilidad de precios de referencia (INS-PE-</w:t>
      </w:r>
      <w:r w:rsidR="004A4E89">
        <w:rPr>
          <w:rFonts w:ascii="Arial" w:hAnsi="Arial" w:cs="Arial"/>
        </w:rPr>
        <w:t>007</w:t>
      </w:r>
      <w:r w:rsidR="00AE434D" w:rsidRPr="00A8230B">
        <w:rPr>
          <w:rFonts w:ascii="Arial" w:hAnsi="Arial" w:cs="Arial"/>
        </w:rPr>
        <w:t xml:space="preserve">), </w:t>
      </w:r>
      <w:r w:rsidRPr="00A8230B">
        <w:rPr>
          <w:rFonts w:ascii="Arial" w:hAnsi="Arial" w:cs="Arial"/>
        </w:rPr>
        <w:t>la Subdirección de Diseño, Evaluación y Sistematización procede a devolverla</w:t>
      </w:r>
      <w:r w:rsidR="00A8230B">
        <w:rPr>
          <w:rFonts w:ascii="Arial" w:hAnsi="Arial" w:cs="Arial"/>
        </w:rPr>
        <w:t>.</w:t>
      </w:r>
    </w:p>
    <w:p w14:paraId="5263D641" w14:textId="77777777" w:rsidR="00A8230B" w:rsidRPr="00A8230B" w:rsidRDefault="00A8230B" w:rsidP="00A8230B">
      <w:pPr>
        <w:pStyle w:val="Prrafodelista"/>
        <w:rPr>
          <w:rFonts w:ascii="Arial" w:hAnsi="Arial" w:cs="Arial"/>
        </w:rPr>
      </w:pPr>
    </w:p>
    <w:p w14:paraId="043BB712" w14:textId="7E643F34" w:rsidR="00B82B7D" w:rsidRPr="001D3F49" w:rsidRDefault="00B82B7D" w:rsidP="00072852">
      <w:pPr>
        <w:pStyle w:val="Prrafodelista"/>
        <w:numPr>
          <w:ilvl w:val="1"/>
          <w:numId w:val="11"/>
        </w:numPr>
        <w:spacing w:after="0" w:line="240" w:lineRule="auto"/>
        <w:ind w:left="709" w:hanging="709"/>
        <w:jc w:val="both"/>
        <w:rPr>
          <w:rFonts w:ascii="Arial" w:hAnsi="Arial" w:cs="Arial"/>
        </w:rPr>
      </w:pPr>
      <w:r w:rsidRPr="00B82B7D">
        <w:rPr>
          <w:rFonts w:ascii="Arial" w:hAnsi="Arial" w:cs="Arial"/>
        </w:rPr>
        <w:t>Cualquier modificación en los documentos anexos ya revisados por la Subdirección de Diseño</w:t>
      </w:r>
      <w:r w:rsidR="007E75A2">
        <w:rPr>
          <w:rFonts w:ascii="Arial" w:hAnsi="Arial" w:cs="Arial"/>
        </w:rPr>
        <w:t>,</w:t>
      </w:r>
      <w:r w:rsidRPr="00B82B7D">
        <w:rPr>
          <w:rFonts w:ascii="Arial" w:hAnsi="Arial" w:cs="Arial"/>
        </w:rPr>
        <w:t xml:space="preserve"> Evaluación</w:t>
      </w:r>
      <w:r w:rsidR="007E75A2">
        <w:rPr>
          <w:rFonts w:ascii="Arial" w:hAnsi="Arial" w:cs="Arial"/>
        </w:rPr>
        <w:t xml:space="preserve"> y</w:t>
      </w:r>
      <w:r w:rsidRPr="00B82B7D">
        <w:rPr>
          <w:rFonts w:ascii="Arial" w:hAnsi="Arial" w:cs="Arial"/>
        </w:rPr>
        <w:t xml:space="preserve"> Sistematización que afecte la </w:t>
      </w:r>
      <w:r w:rsidR="00927FF9">
        <w:rPr>
          <w:rFonts w:ascii="Arial" w:hAnsi="Arial" w:cs="Arial"/>
        </w:rPr>
        <w:t>solicitud</w:t>
      </w:r>
      <w:r w:rsidRPr="00B82B7D">
        <w:rPr>
          <w:rFonts w:ascii="Arial" w:hAnsi="Arial" w:cs="Arial"/>
        </w:rPr>
        <w:t xml:space="preserve"> de manera parcial o total, deber</w:t>
      </w:r>
      <w:r w:rsidR="00BD0A56">
        <w:rPr>
          <w:rFonts w:ascii="Arial" w:hAnsi="Arial" w:cs="Arial"/>
        </w:rPr>
        <w:t>á contar con una nueva revisión.</w:t>
      </w:r>
      <w:r w:rsidR="00C96D08">
        <w:rPr>
          <w:rFonts w:ascii="Arial" w:hAnsi="Arial" w:cs="Arial"/>
        </w:rPr>
        <w:tab/>
      </w:r>
    </w:p>
    <w:p w14:paraId="01EAE7FD" w14:textId="77777777" w:rsidR="00422D87" w:rsidRPr="00967207" w:rsidRDefault="00422D87" w:rsidP="00072852">
      <w:pPr>
        <w:pStyle w:val="Prrafodelista"/>
        <w:spacing w:after="0" w:line="240" w:lineRule="auto"/>
        <w:ind w:left="360"/>
        <w:jc w:val="both"/>
        <w:rPr>
          <w:rFonts w:ascii="Arial" w:hAnsi="Arial" w:cs="Arial"/>
        </w:rPr>
      </w:pPr>
    </w:p>
    <w:p w14:paraId="2BD27C19" w14:textId="3F5F9E14" w:rsidR="00967207" w:rsidRPr="00967207" w:rsidRDefault="00967207" w:rsidP="00072852">
      <w:pPr>
        <w:pStyle w:val="Prrafodelista"/>
        <w:numPr>
          <w:ilvl w:val="1"/>
          <w:numId w:val="11"/>
        </w:numPr>
        <w:spacing w:after="0" w:line="240" w:lineRule="auto"/>
        <w:ind w:left="709" w:hanging="709"/>
        <w:jc w:val="both"/>
        <w:rPr>
          <w:rFonts w:ascii="Arial" w:hAnsi="Arial" w:cs="Arial"/>
        </w:rPr>
      </w:pPr>
      <w:r w:rsidRPr="00967207">
        <w:rPr>
          <w:rFonts w:ascii="Arial" w:hAnsi="Arial" w:cs="Arial"/>
        </w:rPr>
        <w:t>No se requerirá plazo</w:t>
      </w:r>
      <w:r w:rsidR="00921A46">
        <w:rPr>
          <w:rFonts w:ascii="Arial" w:hAnsi="Arial" w:cs="Arial"/>
        </w:rPr>
        <w:t xml:space="preserve"> </w:t>
      </w:r>
      <w:r w:rsidRPr="00967207">
        <w:rPr>
          <w:rFonts w:ascii="Arial" w:hAnsi="Arial" w:cs="Arial"/>
        </w:rPr>
        <w:t xml:space="preserve">ni cantidades </w:t>
      </w:r>
      <w:r w:rsidR="00927FF9">
        <w:rPr>
          <w:rFonts w:ascii="Arial" w:hAnsi="Arial" w:cs="Arial"/>
        </w:rPr>
        <w:t>en la solicitud</w:t>
      </w:r>
      <w:r w:rsidRPr="00967207">
        <w:rPr>
          <w:rFonts w:ascii="Arial" w:hAnsi="Arial" w:cs="Arial"/>
        </w:rPr>
        <w:t xml:space="preserve">, dado que </w:t>
      </w:r>
      <w:r w:rsidR="00311F95">
        <w:rPr>
          <w:rFonts w:ascii="Arial" w:hAnsi="Arial" w:cs="Arial"/>
        </w:rPr>
        <w:t>la</w:t>
      </w:r>
      <w:r w:rsidR="00297BF9">
        <w:rPr>
          <w:rFonts w:ascii="Arial" w:hAnsi="Arial" w:cs="Arial"/>
        </w:rPr>
        <w:t xml:space="preserve"> </w:t>
      </w:r>
      <w:r w:rsidR="00CE2BB5" w:rsidRPr="00B82B7D">
        <w:rPr>
          <w:rFonts w:ascii="Arial" w:hAnsi="Arial" w:cs="Arial"/>
        </w:rPr>
        <w:t>Subdirección de Diseño</w:t>
      </w:r>
      <w:r w:rsidR="00CE2BB5">
        <w:rPr>
          <w:rFonts w:ascii="Arial" w:hAnsi="Arial" w:cs="Arial"/>
        </w:rPr>
        <w:t>,</w:t>
      </w:r>
      <w:r w:rsidR="00CE2BB5" w:rsidRPr="00B82B7D">
        <w:rPr>
          <w:rFonts w:ascii="Arial" w:hAnsi="Arial" w:cs="Arial"/>
        </w:rPr>
        <w:t xml:space="preserve"> Evaluación</w:t>
      </w:r>
      <w:r w:rsidR="00CE2BB5">
        <w:rPr>
          <w:rFonts w:ascii="Arial" w:hAnsi="Arial" w:cs="Arial"/>
        </w:rPr>
        <w:t xml:space="preserve"> y</w:t>
      </w:r>
      <w:r w:rsidR="00CE2BB5" w:rsidRPr="00B82B7D">
        <w:rPr>
          <w:rFonts w:ascii="Arial" w:hAnsi="Arial" w:cs="Arial"/>
        </w:rPr>
        <w:t xml:space="preserve"> Sistematización </w:t>
      </w:r>
      <w:r w:rsidR="005C3506">
        <w:rPr>
          <w:rFonts w:ascii="Arial" w:hAnsi="Arial" w:cs="Arial"/>
        </w:rPr>
        <w:t>da viabilidad a</w:t>
      </w:r>
      <w:r w:rsidRPr="00967207">
        <w:rPr>
          <w:rFonts w:ascii="Arial" w:hAnsi="Arial" w:cs="Arial"/>
        </w:rPr>
        <w:t xml:space="preserve"> precios unitarios de </w:t>
      </w:r>
      <w:r w:rsidR="00327C45" w:rsidRPr="00967207">
        <w:rPr>
          <w:rFonts w:ascii="Arial" w:hAnsi="Arial" w:cs="Arial"/>
        </w:rPr>
        <w:t>referencia</w:t>
      </w:r>
      <w:r w:rsidR="00327C45">
        <w:rPr>
          <w:rFonts w:ascii="Arial" w:hAnsi="Arial" w:cs="Arial"/>
        </w:rPr>
        <w:t xml:space="preserve">, </w:t>
      </w:r>
      <w:r w:rsidR="00327C45" w:rsidRPr="00967207">
        <w:rPr>
          <w:rFonts w:ascii="Arial" w:hAnsi="Arial" w:cs="Arial"/>
        </w:rPr>
        <w:t>más</w:t>
      </w:r>
      <w:r w:rsidR="000D7ADD">
        <w:rPr>
          <w:rFonts w:ascii="Arial" w:hAnsi="Arial" w:cs="Arial"/>
        </w:rPr>
        <w:t xml:space="preserve"> no a </w:t>
      </w:r>
      <w:r w:rsidR="00B865D2">
        <w:rPr>
          <w:rFonts w:ascii="Arial" w:hAnsi="Arial" w:cs="Arial"/>
        </w:rPr>
        <w:t>los</w:t>
      </w:r>
      <w:r w:rsidRPr="00967207">
        <w:rPr>
          <w:rFonts w:ascii="Arial" w:hAnsi="Arial" w:cs="Arial"/>
        </w:rPr>
        <w:t xml:space="preserve"> valores totales del contrato.</w:t>
      </w:r>
    </w:p>
    <w:p w14:paraId="44EFA4D9" w14:textId="77777777" w:rsidR="00191F10" w:rsidRDefault="00191F10" w:rsidP="00072852">
      <w:pPr>
        <w:pStyle w:val="Prrafodelista"/>
        <w:spacing w:after="0" w:line="240" w:lineRule="auto"/>
        <w:ind w:left="360"/>
        <w:jc w:val="both"/>
        <w:rPr>
          <w:rFonts w:ascii="Arial" w:hAnsi="Arial" w:cs="Arial"/>
        </w:rPr>
      </w:pPr>
    </w:p>
    <w:p w14:paraId="3893FA8A" w14:textId="13788F56" w:rsidR="004051ED" w:rsidRDefault="004051ED" w:rsidP="00072852">
      <w:pPr>
        <w:pStyle w:val="Prrafodelista"/>
        <w:numPr>
          <w:ilvl w:val="1"/>
          <w:numId w:val="11"/>
        </w:numPr>
        <w:spacing w:after="0" w:line="240" w:lineRule="auto"/>
        <w:ind w:left="709" w:hanging="709"/>
        <w:jc w:val="both"/>
        <w:rPr>
          <w:rFonts w:ascii="Arial" w:hAnsi="Arial" w:cs="Arial"/>
        </w:rPr>
      </w:pPr>
      <w:r w:rsidRPr="005A4D7E">
        <w:rPr>
          <w:rFonts w:ascii="Arial" w:hAnsi="Arial" w:cs="Arial"/>
        </w:rPr>
        <w:t xml:space="preserve">Para el caso de los servicios sociales, </w:t>
      </w:r>
      <w:r w:rsidR="00AE726A">
        <w:rPr>
          <w:rFonts w:ascii="Arial" w:hAnsi="Arial" w:cs="Arial"/>
        </w:rPr>
        <w:t>se</w:t>
      </w:r>
      <w:r w:rsidRPr="005A4D7E">
        <w:rPr>
          <w:rFonts w:ascii="Arial" w:hAnsi="Arial" w:cs="Arial"/>
        </w:rPr>
        <w:t xml:space="preserve"> debe</w:t>
      </w:r>
      <w:r w:rsidR="00AE726A">
        <w:rPr>
          <w:rFonts w:ascii="Arial" w:hAnsi="Arial" w:cs="Arial"/>
        </w:rPr>
        <w:t>n</w:t>
      </w:r>
      <w:r w:rsidRPr="005A4D7E">
        <w:rPr>
          <w:rFonts w:ascii="Arial" w:hAnsi="Arial" w:cs="Arial"/>
        </w:rPr>
        <w:t xml:space="preserve"> presentar los ítems necesarios para conocer el costo mensual de los servicios, el cual </w:t>
      </w:r>
      <w:r w:rsidR="00FE6D12">
        <w:rPr>
          <w:rFonts w:ascii="Arial" w:hAnsi="Arial" w:cs="Arial"/>
        </w:rPr>
        <w:t>e</w:t>
      </w:r>
      <w:r w:rsidRPr="005A4D7E">
        <w:rPr>
          <w:rFonts w:ascii="Arial" w:hAnsi="Arial" w:cs="Arial"/>
        </w:rPr>
        <w:t xml:space="preserve">s </w:t>
      </w:r>
      <w:r w:rsidR="00AE434D">
        <w:rPr>
          <w:rFonts w:ascii="Arial" w:hAnsi="Arial" w:cs="Arial"/>
        </w:rPr>
        <w:t>viabilizado</w:t>
      </w:r>
      <w:r w:rsidRPr="005A4D7E">
        <w:rPr>
          <w:rFonts w:ascii="Arial" w:hAnsi="Arial" w:cs="Arial"/>
        </w:rPr>
        <w:t xml:space="preserve"> por la Subdirección de Diseño, Evaluación y Sistematización.</w:t>
      </w:r>
    </w:p>
    <w:p w14:paraId="5C02F087" w14:textId="77777777" w:rsidR="00FE6D12" w:rsidRPr="00342145" w:rsidRDefault="00FE6D12" w:rsidP="00B7383F">
      <w:pPr>
        <w:spacing w:after="0" w:line="240" w:lineRule="auto"/>
        <w:jc w:val="both"/>
        <w:rPr>
          <w:rFonts w:ascii="Arial" w:hAnsi="Arial" w:cs="Arial"/>
        </w:rPr>
      </w:pPr>
    </w:p>
    <w:p w14:paraId="215C8071" w14:textId="131F9AF4" w:rsidR="004051ED" w:rsidRPr="00D15DCF" w:rsidRDefault="004051ED" w:rsidP="00072852">
      <w:pPr>
        <w:pStyle w:val="Prrafodelista"/>
        <w:numPr>
          <w:ilvl w:val="1"/>
          <w:numId w:val="11"/>
        </w:numPr>
        <w:spacing w:after="0" w:line="240" w:lineRule="auto"/>
        <w:ind w:left="709" w:hanging="709"/>
        <w:jc w:val="both"/>
        <w:rPr>
          <w:rFonts w:ascii="Arial" w:hAnsi="Arial" w:cs="Arial"/>
        </w:rPr>
      </w:pPr>
      <w:r w:rsidRPr="00D15DCF">
        <w:rPr>
          <w:rFonts w:ascii="Arial" w:hAnsi="Arial" w:cs="Arial"/>
        </w:rPr>
        <w:lastRenderedPageBreak/>
        <w:t xml:space="preserve">Para el caso de la compra de bienes, </w:t>
      </w:r>
      <w:r w:rsidR="00AE726A" w:rsidRPr="00D15DCF">
        <w:rPr>
          <w:rFonts w:ascii="Arial" w:hAnsi="Arial" w:cs="Arial"/>
        </w:rPr>
        <w:t xml:space="preserve">se </w:t>
      </w:r>
      <w:r w:rsidRPr="00D15DCF">
        <w:rPr>
          <w:rFonts w:ascii="Arial" w:hAnsi="Arial" w:cs="Arial"/>
        </w:rPr>
        <w:t>debe</w:t>
      </w:r>
      <w:r w:rsidR="00AE726A" w:rsidRPr="00D15DCF">
        <w:rPr>
          <w:rFonts w:ascii="Arial" w:hAnsi="Arial" w:cs="Arial"/>
        </w:rPr>
        <w:t>n</w:t>
      </w:r>
      <w:r w:rsidRPr="00D15DCF">
        <w:rPr>
          <w:rFonts w:ascii="Arial" w:hAnsi="Arial" w:cs="Arial"/>
        </w:rPr>
        <w:t xml:space="preserve"> presentar los costos unitarios y los cálculos necesarios que permitan establecerlos, el cual </w:t>
      </w:r>
      <w:r w:rsidR="00FE6D12">
        <w:rPr>
          <w:rFonts w:ascii="Arial" w:hAnsi="Arial" w:cs="Arial"/>
        </w:rPr>
        <w:t>e</w:t>
      </w:r>
      <w:r w:rsidRPr="00D15DCF">
        <w:rPr>
          <w:rFonts w:ascii="Arial" w:hAnsi="Arial" w:cs="Arial"/>
        </w:rPr>
        <w:t xml:space="preserve">s </w:t>
      </w:r>
      <w:r w:rsidR="00AE434D">
        <w:rPr>
          <w:rFonts w:ascii="Arial" w:hAnsi="Arial" w:cs="Arial"/>
        </w:rPr>
        <w:t>viabilizado</w:t>
      </w:r>
      <w:r w:rsidRPr="00D15DCF">
        <w:rPr>
          <w:rFonts w:ascii="Arial" w:hAnsi="Arial" w:cs="Arial"/>
        </w:rPr>
        <w:t xml:space="preserve"> por la Subdirección de Diseño, Evaluación y Sistematización.</w:t>
      </w:r>
    </w:p>
    <w:p w14:paraId="74B83E3F" w14:textId="77777777" w:rsidR="00E23D47" w:rsidRPr="00D15DCF" w:rsidRDefault="00E23D47" w:rsidP="00586EA9">
      <w:pPr>
        <w:spacing w:after="0" w:line="240" w:lineRule="auto"/>
        <w:jc w:val="both"/>
        <w:rPr>
          <w:rFonts w:ascii="Arial" w:hAnsi="Arial" w:cs="Arial"/>
        </w:rPr>
      </w:pPr>
    </w:p>
    <w:p w14:paraId="5B38F6DD" w14:textId="6B0C7E9C" w:rsidR="00E23D47" w:rsidRPr="005A4D7E" w:rsidRDefault="00E23D47" w:rsidP="00072852">
      <w:pPr>
        <w:spacing w:after="0" w:line="240" w:lineRule="auto"/>
        <w:ind w:left="708"/>
        <w:jc w:val="both"/>
        <w:rPr>
          <w:rFonts w:ascii="Arial" w:hAnsi="Arial" w:cs="Arial"/>
        </w:rPr>
      </w:pPr>
      <w:r w:rsidRPr="00D15DCF">
        <w:rPr>
          <w:rFonts w:ascii="Arial" w:hAnsi="Arial" w:cs="Arial"/>
        </w:rPr>
        <w:t xml:space="preserve">Estos cálculos se </w:t>
      </w:r>
      <w:r w:rsidR="00FE6D12" w:rsidRPr="00D15DCF">
        <w:rPr>
          <w:rFonts w:ascii="Arial" w:hAnsi="Arial" w:cs="Arial"/>
        </w:rPr>
        <w:t>realizan</w:t>
      </w:r>
      <w:r w:rsidRPr="00D15DCF">
        <w:rPr>
          <w:rFonts w:ascii="Arial" w:hAnsi="Arial" w:cs="Arial"/>
        </w:rPr>
        <w:t xml:space="preserve"> con la metodología del túnel y la fuente de información son mínimo tres cotizaciones. En los casos en los cuales no sea posible disponer de tres cotizaciones, se toman dos cotizaciones y el tercer valor para establecer la metodología del túnel </w:t>
      </w:r>
      <w:r w:rsidR="00FE6D12">
        <w:rPr>
          <w:rFonts w:ascii="Arial" w:hAnsi="Arial" w:cs="Arial"/>
        </w:rPr>
        <w:t>e</w:t>
      </w:r>
      <w:r w:rsidRPr="00D15DCF">
        <w:rPr>
          <w:rFonts w:ascii="Arial" w:hAnsi="Arial" w:cs="Arial"/>
        </w:rPr>
        <w:t>s un precio histórico indexado</w:t>
      </w:r>
      <w:r w:rsidR="00D15DCF" w:rsidRPr="00D15DCF">
        <w:rPr>
          <w:rFonts w:ascii="Arial" w:hAnsi="Arial" w:cs="Arial"/>
        </w:rPr>
        <w:t xml:space="preserve"> previa justificación</w:t>
      </w:r>
      <w:r w:rsidRPr="00D15DCF">
        <w:rPr>
          <w:rFonts w:ascii="Arial" w:hAnsi="Arial" w:cs="Arial"/>
        </w:rPr>
        <w:t>.</w:t>
      </w:r>
    </w:p>
    <w:p w14:paraId="33635F6B" w14:textId="77777777" w:rsidR="004051ED" w:rsidRDefault="004051ED" w:rsidP="00586EA9">
      <w:pPr>
        <w:spacing w:after="0" w:line="240" w:lineRule="auto"/>
        <w:jc w:val="both"/>
        <w:rPr>
          <w:rFonts w:ascii="Arial" w:hAnsi="Arial" w:cs="Arial"/>
        </w:rPr>
      </w:pPr>
    </w:p>
    <w:p w14:paraId="06504B44" w14:textId="20CE66EC" w:rsidR="004051ED" w:rsidRPr="002B12E7" w:rsidRDefault="004051ED" w:rsidP="00072852">
      <w:pPr>
        <w:pStyle w:val="Prrafodelista"/>
        <w:numPr>
          <w:ilvl w:val="1"/>
          <w:numId w:val="11"/>
        </w:numPr>
        <w:spacing w:after="0" w:line="240" w:lineRule="auto"/>
        <w:ind w:left="709" w:hanging="709"/>
        <w:jc w:val="both"/>
        <w:rPr>
          <w:rFonts w:ascii="Arial" w:hAnsi="Arial" w:cs="Arial"/>
        </w:rPr>
      </w:pPr>
      <w:r w:rsidRPr="002B12E7">
        <w:rPr>
          <w:rFonts w:ascii="Arial" w:hAnsi="Arial" w:cs="Arial"/>
        </w:rPr>
        <w:t xml:space="preserve">Para el caso de las </w:t>
      </w:r>
      <w:r w:rsidR="000B0A2E" w:rsidRPr="002B12E7">
        <w:rPr>
          <w:rFonts w:ascii="Arial" w:hAnsi="Arial" w:cs="Arial"/>
        </w:rPr>
        <w:t>interventorías</w:t>
      </w:r>
      <w:r w:rsidR="007062E4" w:rsidRPr="002B12E7">
        <w:rPr>
          <w:rFonts w:ascii="Arial" w:hAnsi="Arial" w:cs="Arial"/>
        </w:rPr>
        <w:t xml:space="preserve">, </w:t>
      </w:r>
      <w:r w:rsidR="0005368F" w:rsidRPr="002B12E7">
        <w:rPr>
          <w:rFonts w:ascii="Arial" w:hAnsi="Arial" w:cs="Arial"/>
        </w:rPr>
        <w:t>consultorías y</w:t>
      </w:r>
      <w:r w:rsidR="000B0A2E" w:rsidRPr="002B12E7">
        <w:rPr>
          <w:rFonts w:ascii="Arial" w:hAnsi="Arial" w:cs="Arial"/>
        </w:rPr>
        <w:t xml:space="preserve"> elaboración de estudios y diseños</w:t>
      </w:r>
      <w:r w:rsidR="007062E4" w:rsidRPr="002B12E7">
        <w:rPr>
          <w:rFonts w:ascii="Arial" w:hAnsi="Arial" w:cs="Arial"/>
        </w:rPr>
        <w:t xml:space="preserve"> </w:t>
      </w:r>
      <w:r w:rsidR="000B0A2E" w:rsidRPr="002B12E7">
        <w:rPr>
          <w:rFonts w:ascii="Arial" w:hAnsi="Arial" w:cs="Arial"/>
        </w:rPr>
        <w:t xml:space="preserve">se </w:t>
      </w:r>
      <w:r w:rsidR="00780953" w:rsidRPr="002B12E7">
        <w:rPr>
          <w:rFonts w:ascii="Arial" w:hAnsi="Arial" w:cs="Arial"/>
        </w:rPr>
        <w:t>p</w:t>
      </w:r>
      <w:r w:rsidR="00FE6D12">
        <w:rPr>
          <w:rFonts w:ascii="Arial" w:hAnsi="Arial" w:cs="Arial"/>
        </w:rPr>
        <w:t>ue</w:t>
      </w:r>
      <w:r w:rsidR="00780953" w:rsidRPr="002B12E7">
        <w:rPr>
          <w:rFonts w:ascii="Arial" w:hAnsi="Arial" w:cs="Arial"/>
        </w:rPr>
        <w:t>d</w:t>
      </w:r>
      <w:r w:rsidR="00FE6D12">
        <w:rPr>
          <w:rFonts w:ascii="Arial" w:hAnsi="Arial" w:cs="Arial"/>
        </w:rPr>
        <w:t>e</w:t>
      </w:r>
      <w:r w:rsidR="00780953" w:rsidRPr="002B12E7">
        <w:rPr>
          <w:rFonts w:ascii="Arial" w:hAnsi="Arial" w:cs="Arial"/>
        </w:rPr>
        <w:t xml:space="preserve"> </w:t>
      </w:r>
      <w:r w:rsidR="000B0A2E" w:rsidRPr="002B12E7">
        <w:rPr>
          <w:rFonts w:ascii="Arial" w:hAnsi="Arial" w:cs="Arial"/>
        </w:rPr>
        <w:t>utilizar</w:t>
      </w:r>
      <w:r w:rsidR="005440DF" w:rsidRPr="002B12E7">
        <w:rPr>
          <w:rFonts w:ascii="Arial" w:hAnsi="Arial" w:cs="Arial"/>
        </w:rPr>
        <w:t xml:space="preserve"> </w:t>
      </w:r>
      <w:r w:rsidR="000B0A2E" w:rsidRPr="002B12E7">
        <w:rPr>
          <w:rFonts w:ascii="Arial" w:hAnsi="Arial" w:cs="Arial"/>
        </w:rPr>
        <w:t xml:space="preserve">la </w:t>
      </w:r>
      <w:r w:rsidR="002B12E7" w:rsidRPr="002B12E7">
        <w:rPr>
          <w:rFonts w:ascii="Arial" w:hAnsi="Arial" w:cs="Arial"/>
        </w:rPr>
        <w:t>“</w:t>
      </w:r>
      <w:r w:rsidR="000B0A2E" w:rsidRPr="002B12E7">
        <w:rPr>
          <w:rFonts w:ascii="Arial" w:hAnsi="Arial" w:cs="Arial"/>
        </w:rPr>
        <w:t>modalidad de costeo</w:t>
      </w:r>
      <w:r w:rsidR="00AC1C08" w:rsidRPr="002B12E7">
        <w:rPr>
          <w:rFonts w:ascii="Arial" w:hAnsi="Arial" w:cs="Arial"/>
        </w:rPr>
        <w:t xml:space="preserve"> por </w:t>
      </w:r>
      <w:r w:rsidR="000B0A2E" w:rsidRPr="002B12E7">
        <w:rPr>
          <w:rFonts w:ascii="Arial" w:hAnsi="Arial" w:cs="Arial"/>
        </w:rPr>
        <w:t>factor multiplicador</w:t>
      </w:r>
      <w:r w:rsidR="002B12E7" w:rsidRPr="002B12E7">
        <w:rPr>
          <w:rFonts w:ascii="Arial" w:hAnsi="Arial" w:cs="Arial"/>
        </w:rPr>
        <w:t>”</w:t>
      </w:r>
      <w:r w:rsidRPr="002B12E7">
        <w:rPr>
          <w:rFonts w:ascii="Arial" w:hAnsi="Arial" w:cs="Arial"/>
        </w:rPr>
        <w:t>.</w:t>
      </w:r>
    </w:p>
    <w:p w14:paraId="7D9BABD8" w14:textId="77777777" w:rsidR="00DD5B6C" w:rsidRPr="000D7ADD" w:rsidRDefault="00DD5B6C" w:rsidP="00DD5B6C">
      <w:pPr>
        <w:pStyle w:val="Prrafodelista"/>
        <w:spacing w:after="0" w:line="240" w:lineRule="auto"/>
        <w:ind w:left="709"/>
        <w:jc w:val="both"/>
        <w:rPr>
          <w:rFonts w:ascii="Arial" w:hAnsi="Arial" w:cs="Arial"/>
          <w:highlight w:val="cyan"/>
        </w:rPr>
      </w:pPr>
    </w:p>
    <w:p w14:paraId="62D9D077" w14:textId="605B1383" w:rsidR="007043B4" w:rsidRDefault="007043B4" w:rsidP="00D1165E">
      <w:pPr>
        <w:pStyle w:val="Prrafodelista"/>
        <w:numPr>
          <w:ilvl w:val="1"/>
          <w:numId w:val="11"/>
        </w:numPr>
        <w:spacing w:after="0" w:line="240" w:lineRule="auto"/>
        <w:ind w:left="709" w:hanging="709"/>
        <w:jc w:val="both"/>
        <w:rPr>
          <w:rFonts w:ascii="Arial" w:hAnsi="Arial" w:cs="Arial"/>
        </w:rPr>
      </w:pPr>
      <w:r w:rsidRPr="00D1165E">
        <w:rPr>
          <w:rFonts w:ascii="Arial" w:hAnsi="Arial" w:cs="Arial"/>
        </w:rPr>
        <w:t xml:space="preserve">En las interventorías, consultorías y elaboración de estudios y diseños </w:t>
      </w:r>
      <w:r w:rsidR="00010447" w:rsidRPr="00D1165E">
        <w:rPr>
          <w:rFonts w:ascii="Arial" w:hAnsi="Arial" w:cs="Arial"/>
        </w:rPr>
        <w:t>que no se pueda fraccionar el servicio y sea la entidad contratada la encargada de desarrollar todas las actividades</w:t>
      </w:r>
      <w:r w:rsidR="00111ED8" w:rsidRPr="00D1165E">
        <w:rPr>
          <w:rFonts w:ascii="Arial" w:hAnsi="Arial" w:cs="Arial"/>
        </w:rPr>
        <w:t xml:space="preserve">, </w:t>
      </w:r>
      <w:r w:rsidR="00B46E66">
        <w:rPr>
          <w:rFonts w:ascii="Arial" w:hAnsi="Arial" w:cs="Arial"/>
        </w:rPr>
        <w:t xml:space="preserve">para el cálculo de los precios de referencia </w:t>
      </w:r>
      <w:r w:rsidRPr="00D1165E">
        <w:rPr>
          <w:rFonts w:ascii="Arial" w:hAnsi="Arial" w:cs="Arial"/>
        </w:rPr>
        <w:t>no se t</w:t>
      </w:r>
      <w:r w:rsidR="00FE6D12">
        <w:rPr>
          <w:rFonts w:ascii="Arial" w:hAnsi="Arial" w:cs="Arial"/>
        </w:rPr>
        <w:t>i</w:t>
      </w:r>
      <w:r w:rsidRPr="00D1165E">
        <w:rPr>
          <w:rFonts w:ascii="Arial" w:hAnsi="Arial" w:cs="Arial"/>
        </w:rPr>
        <w:t>en</w:t>
      </w:r>
      <w:r w:rsidR="00FE6D12">
        <w:rPr>
          <w:rFonts w:ascii="Arial" w:hAnsi="Arial" w:cs="Arial"/>
        </w:rPr>
        <w:t>e</w:t>
      </w:r>
      <w:r w:rsidRPr="00D1165E">
        <w:rPr>
          <w:rFonts w:ascii="Arial" w:hAnsi="Arial" w:cs="Arial"/>
        </w:rPr>
        <w:t xml:space="preserve"> en cuenta los precios unitarios de las fases o componentes que requiera dicho proceso</w:t>
      </w:r>
      <w:r w:rsidR="00B46E66">
        <w:rPr>
          <w:rFonts w:ascii="Arial" w:hAnsi="Arial" w:cs="Arial"/>
        </w:rPr>
        <w:t>, sino el valor total de la cotización</w:t>
      </w:r>
    </w:p>
    <w:p w14:paraId="26F450AD" w14:textId="77777777" w:rsidR="00010447" w:rsidRPr="00D1165E" w:rsidRDefault="00010447" w:rsidP="00D1165E">
      <w:pPr>
        <w:spacing w:after="0" w:line="240" w:lineRule="auto"/>
        <w:jc w:val="both"/>
        <w:rPr>
          <w:rFonts w:ascii="Arial" w:hAnsi="Arial" w:cs="Arial"/>
        </w:rPr>
      </w:pPr>
    </w:p>
    <w:p w14:paraId="4B4E35A4" w14:textId="19139D53" w:rsidR="00072852" w:rsidRPr="00072852" w:rsidRDefault="00E15431" w:rsidP="00072852">
      <w:pPr>
        <w:pStyle w:val="Prrafodelista"/>
        <w:numPr>
          <w:ilvl w:val="1"/>
          <w:numId w:val="11"/>
        </w:numPr>
        <w:spacing w:after="0" w:line="240" w:lineRule="auto"/>
        <w:ind w:left="709" w:hanging="709"/>
        <w:jc w:val="both"/>
        <w:rPr>
          <w:rFonts w:ascii="Arial" w:hAnsi="Arial" w:cs="Arial"/>
        </w:rPr>
      </w:pPr>
      <w:r w:rsidRPr="00072852">
        <w:rPr>
          <w:rFonts w:ascii="Arial" w:hAnsi="Arial" w:cs="Arial"/>
        </w:rPr>
        <w:t>La solicitud de viabilidad que incluya</w:t>
      </w:r>
      <w:r w:rsidR="004051ED" w:rsidRPr="00072852">
        <w:rPr>
          <w:rFonts w:ascii="Arial" w:hAnsi="Arial" w:cs="Arial"/>
        </w:rPr>
        <w:t xml:space="preserve"> ítems cotiz</w:t>
      </w:r>
      <w:r w:rsidR="00881B1D" w:rsidRPr="00072852">
        <w:rPr>
          <w:rFonts w:ascii="Arial" w:hAnsi="Arial" w:cs="Arial"/>
        </w:rPr>
        <w:t xml:space="preserve">ados en moneda </w:t>
      </w:r>
      <w:r w:rsidR="00E23D47" w:rsidRPr="00072852">
        <w:rPr>
          <w:rFonts w:ascii="Arial" w:hAnsi="Arial" w:cs="Arial"/>
        </w:rPr>
        <w:t>extranjera</w:t>
      </w:r>
      <w:r w:rsidR="00881B1D" w:rsidRPr="00072852">
        <w:rPr>
          <w:rFonts w:ascii="Arial" w:hAnsi="Arial" w:cs="Arial"/>
        </w:rPr>
        <w:t xml:space="preserve"> debe</w:t>
      </w:r>
      <w:r w:rsidR="004051ED" w:rsidRPr="00072852">
        <w:rPr>
          <w:rFonts w:ascii="Arial" w:hAnsi="Arial" w:cs="Arial"/>
        </w:rPr>
        <w:t xml:space="preserve"> incluir una nota aclaratoria con la tasa representativa del día de elaboración según la autoridad respectiva (</w:t>
      </w:r>
      <w:r w:rsidR="00FB38A8" w:rsidRPr="00072852">
        <w:rPr>
          <w:rFonts w:ascii="Arial" w:hAnsi="Arial" w:cs="Arial"/>
        </w:rPr>
        <w:t>Banco de la República</w:t>
      </w:r>
      <w:r w:rsidR="004051ED" w:rsidRPr="00072852">
        <w:rPr>
          <w:rFonts w:ascii="Arial" w:hAnsi="Arial" w:cs="Arial"/>
        </w:rPr>
        <w:t>).</w:t>
      </w:r>
    </w:p>
    <w:p w14:paraId="04FF257F" w14:textId="77777777" w:rsidR="00072852" w:rsidRPr="00072852" w:rsidRDefault="00072852" w:rsidP="00072852">
      <w:pPr>
        <w:pStyle w:val="Prrafodelista"/>
        <w:spacing w:after="0" w:line="240" w:lineRule="auto"/>
        <w:ind w:left="360"/>
        <w:jc w:val="both"/>
        <w:rPr>
          <w:rFonts w:ascii="Arial" w:hAnsi="Arial" w:cs="Arial"/>
        </w:rPr>
      </w:pPr>
    </w:p>
    <w:p w14:paraId="1EDA9908" w14:textId="5E7A90AB" w:rsidR="004051ED" w:rsidRDefault="00881B1D" w:rsidP="00072852">
      <w:pPr>
        <w:spacing w:after="0" w:line="240" w:lineRule="auto"/>
        <w:ind w:left="708"/>
        <w:jc w:val="both"/>
        <w:rPr>
          <w:rFonts w:ascii="Arial" w:hAnsi="Arial" w:cs="Arial"/>
        </w:rPr>
      </w:pPr>
      <w:r>
        <w:rPr>
          <w:rFonts w:ascii="Arial" w:hAnsi="Arial" w:cs="Arial"/>
        </w:rPr>
        <w:t xml:space="preserve">El memorando de viabilidad </w:t>
      </w:r>
      <w:r w:rsidR="004051ED" w:rsidRPr="001D7531">
        <w:rPr>
          <w:rFonts w:ascii="Arial" w:hAnsi="Arial" w:cs="Arial"/>
        </w:rPr>
        <w:t>inclu</w:t>
      </w:r>
      <w:r w:rsidR="00FE6D12">
        <w:rPr>
          <w:rFonts w:ascii="Arial" w:hAnsi="Arial" w:cs="Arial"/>
        </w:rPr>
        <w:t>ye</w:t>
      </w:r>
      <w:r w:rsidR="004051ED" w:rsidRPr="001D7531">
        <w:rPr>
          <w:rFonts w:ascii="Arial" w:hAnsi="Arial" w:cs="Arial"/>
        </w:rPr>
        <w:t xml:space="preserve"> una anotación sobre el cambio en la Tasa Representativa del Mercado </w:t>
      </w:r>
      <w:r w:rsidR="00FE6D12">
        <w:rPr>
          <w:rFonts w:ascii="Arial" w:hAnsi="Arial" w:cs="Arial"/>
        </w:rPr>
        <w:t>(</w:t>
      </w:r>
      <w:r w:rsidR="004051ED" w:rsidRPr="001D7531">
        <w:rPr>
          <w:rFonts w:ascii="Arial" w:hAnsi="Arial" w:cs="Arial"/>
        </w:rPr>
        <w:t>TRM</w:t>
      </w:r>
      <w:r w:rsidR="00FE6D12">
        <w:rPr>
          <w:rFonts w:ascii="Arial" w:hAnsi="Arial" w:cs="Arial"/>
        </w:rPr>
        <w:t>)</w:t>
      </w:r>
      <w:r w:rsidR="004051ED" w:rsidRPr="001D7531">
        <w:rPr>
          <w:rFonts w:ascii="Arial" w:hAnsi="Arial" w:cs="Arial"/>
        </w:rPr>
        <w:t xml:space="preserve"> a la fecha de la </w:t>
      </w:r>
      <w:r>
        <w:rPr>
          <w:rFonts w:ascii="Arial" w:hAnsi="Arial" w:cs="Arial"/>
        </w:rPr>
        <w:t>revisión</w:t>
      </w:r>
      <w:r w:rsidR="004051ED" w:rsidRPr="001D7531">
        <w:rPr>
          <w:rFonts w:ascii="Arial" w:hAnsi="Arial" w:cs="Arial"/>
        </w:rPr>
        <w:t xml:space="preserve"> y el consecuente cambio en el valor total </w:t>
      </w:r>
      <w:r w:rsidR="002714FA">
        <w:rPr>
          <w:rFonts w:ascii="Arial" w:hAnsi="Arial" w:cs="Arial"/>
        </w:rPr>
        <w:t>si llega</w:t>
      </w:r>
      <w:r w:rsidR="00FB38A8">
        <w:rPr>
          <w:rFonts w:ascii="Arial" w:hAnsi="Arial" w:cs="Arial"/>
        </w:rPr>
        <w:t xml:space="preserve"> a presentarse una variación.</w:t>
      </w:r>
    </w:p>
    <w:p w14:paraId="432D8486" w14:textId="77777777" w:rsidR="000A4BDF" w:rsidRDefault="000A4BDF" w:rsidP="00072852">
      <w:pPr>
        <w:pStyle w:val="Prrafodelista"/>
        <w:spacing w:after="0" w:line="240" w:lineRule="auto"/>
        <w:ind w:left="360"/>
        <w:jc w:val="both"/>
        <w:rPr>
          <w:rFonts w:ascii="Arial" w:hAnsi="Arial" w:cs="Arial"/>
        </w:rPr>
      </w:pPr>
    </w:p>
    <w:p w14:paraId="4441E07F" w14:textId="1F0CD6C6" w:rsidR="000A4BDF" w:rsidRDefault="000A4BDF" w:rsidP="00072852">
      <w:pPr>
        <w:pStyle w:val="Prrafodelista"/>
        <w:numPr>
          <w:ilvl w:val="1"/>
          <w:numId w:val="11"/>
        </w:numPr>
        <w:spacing w:after="0" w:line="240" w:lineRule="auto"/>
        <w:ind w:left="709" w:hanging="709"/>
        <w:jc w:val="both"/>
        <w:rPr>
          <w:rFonts w:ascii="Arial" w:hAnsi="Arial" w:cs="Arial"/>
        </w:rPr>
      </w:pPr>
      <w:r w:rsidRPr="0067201F">
        <w:rPr>
          <w:rFonts w:ascii="Arial" w:hAnsi="Arial" w:cs="Arial"/>
        </w:rPr>
        <w:t>Se recib</w:t>
      </w:r>
      <w:r w:rsidR="00FE6D12">
        <w:rPr>
          <w:rFonts w:ascii="Arial" w:hAnsi="Arial" w:cs="Arial"/>
        </w:rPr>
        <w:t>e</w:t>
      </w:r>
      <w:r w:rsidRPr="0067201F">
        <w:rPr>
          <w:rFonts w:ascii="Arial" w:hAnsi="Arial" w:cs="Arial"/>
        </w:rPr>
        <w:t xml:space="preserve">n entregas parciales </w:t>
      </w:r>
      <w:r w:rsidR="00BF2125" w:rsidRPr="0067201F">
        <w:rPr>
          <w:rFonts w:ascii="Arial" w:hAnsi="Arial" w:cs="Arial"/>
        </w:rPr>
        <w:t xml:space="preserve">de </w:t>
      </w:r>
      <w:r w:rsidR="00927FF9">
        <w:rPr>
          <w:rFonts w:ascii="Arial" w:hAnsi="Arial" w:cs="Arial"/>
        </w:rPr>
        <w:t xml:space="preserve">listados de </w:t>
      </w:r>
      <w:r w:rsidR="00BF2125" w:rsidRPr="0067201F">
        <w:rPr>
          <w:rFonts w:ascii="Arial" w:hAnsi="Arial" w:cs="Arial"/>
        </w:rPr>
        <w:t>precios de referencia para los casos donde los procesos de contratación superen los 500 ítems</w:t>
      </w:r>
      <w:r w:rsidR="0067201F">
        <w:rPr>
          <w:rFonts w:ascii="Arial" w:hAnsi="Arial" w:cs="Arial"/>
        </w:rPr>
        <w:t xml:space="preserve"> (en el caso de </w:t>
      </w:r>
      <w:r w:rsidR="000731C4">
        <w:rPr>
          <w:rFonts w:ascii="Arial" w:hAnsi="Arial" w:cs="Arial"/>
        </w:rPr>
        <w:t xml:space="preserve">entregas </w:t>
      </w:r>
      <w:r w:rsidR="0067201F">
        <w:rPr>
          <w:rFonts w:ascii="Arial" w:hAnsi="Arial" w:cs="Arial"/>
        </w:rPr>
        <w:t>físicas)</w:t>
      </w:r>
      <w:r w:rsidR="0067201F" w:rsidRPr="0067201F">
        <w:rPr>
          <w:rFonts w:ascii="Arial" w:hAnsi="Arial" w:cs="Arial"/>
        </w:rPr>
        <w:t>.</w:t>
      </w:r>
      <w:r w:rsidR="0067201F">
        <w:rPr>
          <w:rFonts w:ascii="Arial" w:hAnsi="Arial" w:cs="Arial"/>
        </w:rPr>
        <w:t xml:space="preserve"> Los plazos d</w:t>
      </w:r>
      <w:r w:rsidR="000D7ADD">
        <w:rPr>
          <w:rFonts w:ascii="Arial" w:hAnsi="Arial" w:cs="Arial"/>
        </w:rPr>
        <w:t xml:space="preserve">e respuesta por parte de la Subdirección de Diseño, Evaluación y </w:t>
      </w:r>
      <w:r w:rsidR="0042677F">
        <w:rPr>
          <w:rFonts w:ascii="Arial" w:hAnsi="Arial" w:cs="Arial"/>
        </w:rPr>
        <w:t>Sistematización</w:t>
      </w:r>
      <w:r w:rsidR="0067201F">
        <w:rPr>
          <w:rFonts w:ascii="Arial" w:hAnsi="Arial" w:cs="Arial"/>
        </w:rPr>
        <w:t xml:space="preserve"> empiezan a contarse a partir de la recepción de la documentación completa. </w:t>
      </w:r>
    </w:p>
    <w:p w14:paraId="2E4E3D7B" w14:textId="77777777" w:rsidR="00733728" w:rsidRDefault="00733728" w:rsidP="00072852">
      <w:pPr>
        <w:pStyle w:val="Prrafodelista"/>
        <w:spacing w:after="0" w:line="240" w:lineRule="auto"/>
        <w:ind w:left="360"/>
        <w:jc w:val="both"/>
        <w:rPr>
          <w:rFonts w:ascii="Arial" w:hAnsi="Arial" w:cs="Arial"/>
        </w:rPr>
      </w:pPr>
    </w:p>
    <w:p w14:paraId="0A996D41" w14:textId="563706A2" w:rsidR="00512F19" w:rsidRDefault="00512F19" w:rsidP="00072852">
      <w:pPr>
        <w:pStyle w:val="Prrafodelista"/>
        <w:numPr>
          <w:ilvl w:val="1"/>
          <w:numId w:val="11"/>
        </w:numPr>
        <w:spacing w:after="0" w:line="240" w:lineRule="auto"/>
        <w:ind w:left="709" w:hanging="709"/>
        <w:jc w:val="both"/>
        <w:rPr>
          <w:rFonts w:ascii="Arial" w:hAnsi="Arial" w:cs="Arial"/>
        </w:rPr>
      </w:pPr>
      <w:r w:rsidRPr="00D15DCF">
        <w:rPr>
          <w:rFonts w:ascii="Arial" w:hAnsi="Arial" w:cs="Arial"/>
        </w:rPr>
        <w:t>Se establece que se les realiz</w:t>
      </w:r>
      <w:r w:rsidR="00FE6D12">
        <w:rPr>
          <w:rFonts w:ascii="Arial" w:hAnsi="Arial" w:cs="Arial"/>
        </w:rPr>
        <w:t>a</w:t>
      </w:r>
      <w:r w:rsidRPr="00D15DCF">
        <w:rPr>
          <w:rFonts w:ascii="Arial" w:hAnsi="Arial" w:cs="Arial"/>
        </w:rPr>
        <w:t xml:space="preserve"> una viabilidad </w:t>
      </w:r>
      <w:r w:rsidR="00FE6D12">
        <w:rPr>
          <w:rFonts w:ascii="Arial" w:hAnsi="Arial" w:cs="Arial"/>
        </w:rPr>
        <w:t>e</w:t>
      </w:r>
      <w:r w:rsidRPr="00D15DCF">
        <w:rPr>
          <w:rFonts w:ascii="Arial" w:hAnsi="Arial" w:cs="Arial"/>
        </w:rPr>
        <w:t xml:space="preserve">conómica a los estándares formulados para los servicios que presta la entidad mediante un proceso de análisis en el cual la Subdirección de Diseño, Evaluación y Sistematización determinar si cuentan con recursos </w:t>
      </w:r>
      <w:r w:rsidR="0009790C">
        <w:rPr>
          <w:rFonts w:ascii="Arial" w:hAnsi="Arial" w:cs="Arial"/>
        </w:rPr>
        <w:t>programados en la vigencia y el Plan de D</w:t>
      </w:r>
      <w:r w:rsidRPr="00D15DCF">
        <w:rPr>
          <w:rFonts w:ascii="Arial" w:hAnsi="Arial" w:cs="Arial"/>
        </w:rPr>
        <w:t>esarrollo</w:t>
      </w:r>
      <w:r w:rsidR="00FE6D12">
        <w:rPr>
          <w:rFonts w:ascii="Arial" w:hAnsi="Arial" w:cs="Arial"/>
        </w:rPr>
        <w:t xml:space="preserve"> Distrital</w:t>
      </w:r>
      <w:r w:rsidRPr="00D15DCF">
        <w:rPr>
          <w:rFonts w:ascii="Arial" w:hAnsi="Arial" w:cs="Arial"/>
        </w:rPr>
        <w:t xml:space="preserve"> vigente</w:t>
      </w:r>
      <w:r w:rsidR="00C67654">
        <w:rPr>
          <w:rFonts w:ascii="Arial" w:hAnsi="Arial" w:cs="Arial"/>
        </w:rPr>
        <w:t>.</w:t>
      </w:r>
    </w:p>
    <w:p w14:paraId="3B011AB9" w14:textId="77777777" w:rsidR="00C67654" w:rsidRDefault="00C67654" w:rsidP="00072852">
      <w:pPr>
        <w:pStyle w:val="Prrafodelista"/>
        <w:spacing w:after="0" w:line="240" w:lineRule="auto"/>
        <w:ind w:left="360"/>
        <w:jc w:val="both"/>
        <w:rPr>
          <w:rFonts w:ascii="Arial" w:hAnsi="Arial" w:cs="Arial"/>
        </w:rPr>
      </w:pPr>
    </w:p>
    <w:p w14:paraId="346B0951" w14:textId="43D4FBAE" w:rsidR="00C67654" w:rsidRDefault="00C67654" w:rsidP="00072852">
      <w:pPr>
        <w:pStyle w:val="Prrafodelista"/>
        <w:numPr>
          <w:ilvl w:val="1"/>
          <w:numId w:val="11"/>
        </w:numPr>
        <w:spacing w:after="0" w:line="240" w:lineRule="auto"/>
        <w:ind w:left="709" w:hanging="709"/>
        <w:jc w:val="both"/>
        <w:rPr>
          <w:rFonts w:ascii="Arial" w:hAnsi="Arial" w:cs="Arial"/>
        </w:rPr>
      </w:pPr>
      <w:r>
        <w:rPr>
          <w:rFonts w:ascii="Arial" w:hAnsi="Arial" w:cs="Arial"/>
        </w:rPr>
        <w:t xml:space="preserve">Para el caso de </w:t>
      </w:r>
      <w:r w:rsidR="00FE6D12">
        <w:rPr>
          <w:rFonts w:ascii="Arial" w:hAnsi="Arial" w:cs="Arial"/>
        </w:rPr>
        <w:t xml:space="preserve">obras </w:t>
      </w:r>
      <w:r w:rsidR="00FE6D12" w:rsidRPr="00C96D08">
        <w:rPr>
          <w:rFonts w:ascii="Arial" w:hAnsi="Arial" w:cs="Arial"/>
        </w:rPr>
        <w:t xml:space="preserve">públicas </w:t>
      </w:r>
      <w:r w:rsidR="23163D32" w:rsidRPr="00C96D08">
        <w:rPr>
          <w:rFonts w:ascii="Arial" w:hAnsi="Arial" w:cs="Arial"/>
        </w:rPr>
        <w:t>y mantenimientos,</w:t>
      </w:r>
      <w:r w:rsidRPr="00C96D08">
        <w:rPr>
          <w:rFonts w:ascii="Arial" w:hAnsi="Arial" w:cs="Arial"/>
        </w:rPr>
        <w:t xml:space="preserve"> </w:t>
      </w:r>
      <w:r w:rsidR="000B0A2E" w:rsidRPr="00C96D08">
        <w:rPr>
          <w:rFonts w:ascii="Arial" w:hAnsi="Arial" w:cs="Arial"/>
        </w:rPr>
        <w:t>la</w:t>
      </w:r>
      <w:r w:rsidR="000B0A2E">
        <w:rPr>
          <w:rFonts w:ascii="Arial" w:hAnsi="Arial" w:cs="Arial"/>
        </w:rPr>
        <w:t xml:space="preserve"> </w:t>
      </w:r>
      <w:r w:rsidR="009A056F">
        <w:rPr>
          <w:rFonts w:ascii="Arial" w:hAnsi="Arial" w:cs="Arial"/>
        </w:rPr>
        <w:t>S</w:t>
      </w:r>
      <w:r w:rsidR="000B0A2E">
        <w:rPr>
          <w:rFonts w:ascii="Arial" w:hAnsi="Arial" w:cs="Arial"/>
        </w:rPr>
        <w:t xml:space="preserve">ubdirección de </w:t>
      </w:r>
      <w:r w:rsidR="009A056F">
        <w:rPr>
          <w:rFonts w:ascii="Arial" w:hAnsi="Arial" w:cs="Arial"/>
        </w:rPr>
        <w:t>P</w:t>
      </w:r>
      <w:r w:rsidR="000B0A2E">
        <w:rPr>
          <w:rFonts w:ascii="Arial" w:hAnsi="Arial" w:cs="Arial"/>
        </w:rPr>
        <w:t xml:space="preserve">lantas </w:t>
      </w:r>
      <w:r w:rsidR="009A056F">
        <w:rPr>
          <w:rFonts w:ascii="Arial" w:hAnsi="Arial" w:cs="Arial"/>
        </w:rPr>
        <w:t>F</w:t>
      </w:r>
      <w:r w:rsidR="000B0A2E">
        <w:rPr>
          <w:rFonts w:ascii="Arial" w:hAnsi="Arial" w:cs="Arial"/>
        </w:rPr>
        <w:t>ísicas trabaja</w:t>
      </w:r>
      <w:r>
        <w:rPr>
          <w:rFonts w:ascii="Arial" w:hAnsi="Arial" w:cs="Arial"/>
        </w:rPr>
        <w:t xml:space="preserve"> con la lista de precios vigente aprobada por la </w:t>
      </w:r>
      <w:r w:rsidR="009A056F">
        <w:rPr>
          <w:rFonts w:ascii="Arial" w:hAnsi="Arial" w:cs="Arial"/>
        </w:rPr>
        <w:t>Subdirección de Diseño, Evaluación y Sistematización</w:t>
      </w:r>
      <w:r>
        <w:rPr>
          <w:rFonts w:ascii="Arial" w:hAnsi="Arial" w:cs="Arial"/>
        </w:rPr>
        <w:t xml:space="preserve">; en consecuencia, no </w:t>
      </w:r>
      <w:r w:rsidR="00FE6D12">
        <w:rPr>
          <w:rFonts w:ascii="Arial" w:hAnsi="Arial" w:cs="Arial"/>
        </w:rPr>
        <w:t>e</w:t>
      </w:r>
      <w:r>
        <w:rPr>
          <w:rFonts w:ascii="Arial" w:hAnsi="Arial" w:cs="Arial"/>
        </w:rPr>
        <w:t>s necesario solicitar viabilidad de estructura de costos para cada presupuesto de obra.</w:t>
      </w:r>
    </w:p>
    <w:p w14:paraId="429FCC5E" w14:textId="547837FF" w:rsidR="000B0A2E" w:rsidRDefault="000B0A2E" w:rsidP="00072852">
      <w:pPr>
        <w:pStyle w:val="Prrafodelista"/>
        <w:spacing w:after="0" w:line="240" w:lineRule="auto"/>
        <w:ind w:left="709"/>
        <w:jc w:val="both"/>
        <w:rPr>
          <w:rFonts w:ascii="Arial" w:hAnsi="Arial" w:cs="Arial"/>
        </w:rPr>
      </w:pPr>
    </w:p>
    <w:p w14:paraId="5E897B22" w14:textId="5CC82A6F" w:rsidR="00FD2D2A" w:rsidRDefault="000B0A2E" w:rsidP="00FD2D2A">
      <w:pPr>
        <w:pStyle w:val="Prrafodelista"/>
        <w:numPr>
          <w:ilvl w:val="1"/>
          <w:numId w:val="11"/>
        </w:numPr>
        <w:spacing w:after="0" w:line="240" w:lineRule="auto"/>
        <w:ind w:left="709" w:hanging="709"/>
        <w:jc w:val="both"/>
        <w:rPr>
          <w:rFonts w:ascii="Arial" w:hAnsi="Arial" w:cs="Arial"/>
        </w:rPr>
      </w:pPr>
      <w:r>
        <w:rPr>
          <w:rFonts w:ascii="Arial" w:hAnsi="Arial" w:cs="Arial"/>
        </w:rPr>
        <w:t>Para los casos de presupuestos de obra</w:t>
      </w:r>
      <w:r w:rsidR="003B2FF0">
        <w:rPr>
          <w:rFonts w:ascii="Arial" w:hAnsi="Arial" w:cs="Arial"/>
        </w:rPr>
        <w:t>,</w:t>
      </w:r>
      <w:r>
        <w:rPr>
          <w:rFonts w:ascii="Arial" w:hAnsi="Arial" w:cs="Arial"/>
        </w:rPr>
        <w:t xml:space="preserve"> el c</w:t>
      </w:r>
      <w:r w:rsidR="7BE97BC0">
        <w:rPr>
          <w:rFonts w:ascii="Arial" w:hAnsi="Arial" w:cs="Arial"/>
        </w:rPr>
        <w:t>á</w:t>
      </w:r>
      <w:r>
        <w:rPr>
          <w:rFonts w:ascii="Arial" w:hAnsi="Arial" w:cs="Arial"/>
        </w:rPr>
        <w:t xml:space="preserve">lculo o aprobación del A.I.U. </w:t>
      </w:r>
      <w:r w:rsidR="00FE6D12">
        <w:rPr>
          <w:rFonts w:ascii="Arial" w:hAnsi="Arial" w:cs="Arial"/>
        </w:rPr>
        <w:t>e</w:t>
      </w:r>
      <w:r>
        <w:rPr>
          <w:rFonts w:ascii="Arial" w:hAnsi="Arial" w:cs="Arial"/>
        </w:rPr>
        <w:t>s responsabilidad de la Subdirección de Plantas Físicas.</w:t>
      </w:r>
    </w:p>
    <w:p w14:paraId="5B459EA4" w14:textId="77777777" w:rsidR="00FD2D2A" w:rsidRPr="00FD2D2A" w:rsidRDefault="00FD2D2A" w:rsidP="00FD2D2A">
      <w:pPr>
        <w:pStyle w:val="Prrafodelista"/>
        <w:rPr>
          <w:rFonts w:ascii="Arial" w:hAnsi="Arial" w:cs="Arial"/>
          <w:highlight w:val="cyan"/>
        </w:rPr>
      </w:pPr>
    </w:p>
    <w:p w14:paraId="6F9E0754" w14:textId="11F415EA" w:rsidR="002E1035" w:rsidRPr="00774BBF" w:rsidRDefault="00780174" w:rsidP="00EA2DBE">
      <w:pPr>
        <w:pStyle w:val="Prrafodelista"/>
        <w:numPr>
          <w:ilvl w:val="1"/>
          <w:numId w:val="11"/>
        </w:numPr>
        <w:spacing w:after="0" w:line="240" w:lineRule="auto"/>
        <w:ind w:left="709" w:hanging="709"/>
        <w:jc w:val="both"/>
        <w:rPr>
          <w:rFonts w:ascii="Arial" w:hAnsi="Arial" w:cs="Arial"/>
        </w:rPr>
      </w:pPr>
      <w:r w:rsidRPr="00774BBF">
        <w:rPr>
          <w:rFonts w:ascii="Arial" w:hAnsi="Arial" w:cs="Arial"/>
        </w:rPr>
        <w:t xml:space="preserve">Para el caso de compra de alimentos a cargo de la </w:t>
      </w:r>
      <w:r w:rsidR="00E36237" w:rsidRPr="00774BBF">
        <w:rPr>
          <w:rFonts w:ascii="Arial" w:hAnsi="Arial" w:cs="Arial"/>
        </w:rPr>
        <w:t>D</w:t>
      </w:r>
      <w:r w:rsidRPr="00774BBF">
        <w:rPr>
          <w:rFonts w:ascii="Arial" w:hAnsi="Arial" w:cs="Arial"/>
        </w:rPr>
        <w:t>irecci</w:t>
      </w:r>
      <w:r w:rsidR="00E36237" w:rsidRPr="00774BBF">
        <w:rPr>
          <w:rFonts w:ascii="Arial" w:hAnsi="Arial" w:cs="Arial"/>
        </w:rPr>
        <w:t>ó</w:t>
      </w:r>
      <w:r w:rsidRPr="00774BBF">
        <w:rPr>
          <w:rFonts w:ascii="Arial" w:hAnsi="Arial" w:cs="Arial"/>
        </w:rPr>
        <w:t xml:space="preserve">n de </w:t>
      </w:r>
      <w:r w:rsidR="00FE6D12" w:rsidRPr="00774BBF">
        <w:rPr>
          <w:rFonts w:ascii="Arial" w:hAnsi="Arial" w:cs="Arial"/>
        </w:rPr>
        <w:t>N</w:t>
      </w:r>
      <w:r w:rsidR="00E36237" w:rsidRPr="00774BBF">
        <w:rPr>
          <w:rFonts w:ascii="Arial" w:hAnsi="Arial" w:cs="Arial"/>
        </w:rPr>
        <w:t xml:space="preserve">utrición y </w:t>
      </w:r>
      <w:r w:rsidR="00FE6D12" w:rsidRPr="00774BBF">
        <w:rPr>
          <w:rFonts w:ascii="Arial" w:hAnsi="Arial" w:cs="Arial"/>
        </w:rPr>
        <w:t>A</w:t>
      </w:r>
      <w:r w:rsidRPr="00774BBF">
        <w:rPr>
          <w:rFonts w:ascii="Arial" w:hAnsi="Arial" w:cs="Arial"/>
        </w:rPr>
        <w:t>bastecimiento se t</w:t>
      </w:r>
      <w:r w:rsidR="00FE6D12" w:rsidRPr="00774BBF">
        <w:rPr>
          <w:rFonts w:ascii="Arial" w:hAnsi="Arial" w:cs="Arial"/>
        </w:rPr>
        <w:t>i</w:t>
      </w:r>
      <w:r w:rsidRPr="00774BBF">
        <w:rPr>
          <w:rFonts w:ascii="Arial" w:hAnsi="Arial" w:cs="Arial"/>
        </w:rPr>
        <w:t>en</w:t>
      </w:r>
      <w:r w:rsidR="00FE6D12" w:rsidRPr="00774BBF">
        <w:rPr>
          <w:rFonts w:ascii="Arial" w:hAnsi="Arial" w:cs="Arial"/>
        </w:rPr>
        <w:t>e</w:t>
      </w:r>
      <w:r w:rsidRPr="00774BBF">
        <w:rPr>
          <w:rFonts w:ascii="Arial" w:hAnsi="Arial" w:cs="Arial"/>
        </w:rPr>
        <w:t xml:space="preserve"> en cuenta</w:t>
      </w:r>
      <w:r w:rsidR="003F0266" w:rsidRPr="00774BBF">
        <w:rPr>
          <w:rFonts w:ascii="Arial" w:hAnsi="Arial" w:cs="Arial"/>
        </w:rPr>
        <w:t xml:space="preserve"> el anexo 2 Metodología para el cálculo de los precios de referencia en la compra de alimentos a cargo de la </w:t>
      </w:r>
      <w:r w:rsidR="00FE6D12" w:rsidRPr="00774BBF">
        <w:rPr>
          <w:rFonts w:ascii="Arial" w:hAnsi="Arial" w:cs="Arial"/>
        </w:rPr>
        <w:t>D</w:t>
      </w:r>
      <w:r w:rsidR="003F0266" w:rsidRPr="00774BBF">
        <w:rPr>
          <w:rFonts w:ascii="Arial" w:hAnsi="Arial" w:cs="Arial"/>
        </w:rPr>
        <w:t xml:space="preserve">irección de </w:t>
      </w:r>
      <w:r w:rsidR="00FE6D12" w:rsidRPr="00774BBF">
        <w:rPr>
          <w:rFonts w:ascii="Arial" w:hAnsi="Arial" w:cs="Arial"/>
        </w:rPr>
        <w:t>N</w:t>
      </w:r>
      <w:r w:rsidR="003F0266" w:rsidRPr="00774BBF">
        <w:rPr>
          <w:rFonts w:ascii="Arial" w:hAnsi="Arial" w:cs="Arial"/>
        </w:rPr>
        <w:t xml:space="preserve">utrición y </w:t>
      </w:r>
      <w:r w:rsidR="00FE6D12" w:rsidRPr="00774BBF">
        <w:rPr>
          <w:rFonts w:ascii="Arial" w:hAnsi="Arial" w:cs="Arial"/>
        </w:rPr>
        <w:t>A</w:t>
      </w:r>
      <w:r w:rsidR="003F0266" w:rsidRPr="00774BBF">
        <w:rPr>
          <w:rFonts w:ascii="Arial" w:hAnsi="Arial" w:cs="Arial"/>
        </w:rPr>
        <w:t>bastecimiento</w:t>
      </w:r>
    </w:p>
    <w:p w14:paraId="0E36F311" w14:textId="77777777" w:rsidR="00927EF8" w:rsidRDefault="00927EF8" w:rsidP="00586EA9">
      <w:pPr>
        <w:pStyle w:val="Prrafodelista"/>
        <w:numPr>
          <w:ilvl w:val="0"/>
          <w:numId w:val="11"/>
        </w:numPr>
        <w:spacing w:after="0" w:line="240" w:lineRule="auto"/>
        <w:jc w:val="both"/>
        <w:rPr>
          <w:rFonts w:ascii="Arial" w:hAnsi="Arial" w:cs="Arial"/>
          <w:bCs/>
        </w:rPr>
      </w:pPr>
      <w:r w:rsidRPr="00D83FDE">
        <w:rPr>
          <w:rFonts w:ascii="Arial" w:hAnsi="Arial" w:cs="Arial"/>
          <w:bCs/>
        </w:rPr>
        <w:lastRenderedPageBreak/>
        <w:t>Descripción de actividades</w:t>
      </w:r>
    </w:p>
    <w:p w14:paraId="58658867" w14:textId="77777777" w:rsidR="003C7263" w:rsidRPr="00D83FDE" w:rsidRDefault="003C7263" w:rsidP="003C7263">
      <w:pPr>
        <w:pStyle w:val="Prrafodelista"/>
        <w:spacing w:after="0" w:line="240" w:lineRule="auto"/>
        <w:ind w:left="360"/>
        <w:jc w:val="both"/>
        <w:rPr>
          <w:rFonts w:ascii="Arial" w:hAnsi="Arial" w:cs="Arial"/>
          <w:bCs/>
        </w:rPr>
      </w:pPr>
    </w:p>
    <w:p w14:paraId="57AF7144" w14:textId="7F170499" w:rsidR="00D24D99" w:rsidRPr="00D83FDE" w:rsidRDefault="005C3506" w:rsidP="00855926">
      <w:pPr>
        <w:pStyle w:val="Prrafodelista"/>
        <w:numPr>
          <w:ilvl w:val="1"/>
          <w:numId w:val="11"/>
        </w:numPr>
        <w:spacing w:after="0" w:line="240" w:lineRule="auto"/>
        <w:rPr>
          <w:rFonts w:ascii="Arial" w:hAnsi="Arial" w:cs="Arial"/>
          <w:bCs/>
        </w:rPr>
      </w:pPr>
      <w:r w:rsidRPr="00D83FDE">
        <w:rPr>
          <w:rFonts w:ascii="Arial" w:hAnsi="Arial" w:cs="Arial"/>
          <w:bCs/>
          <w:lang w:val="es-ES" w:eastAsia="es-ES"/>
        </w:rPr>
        <w:t>Viabilidad</w:t>
      </w:r>
      <w:r w:rsidR="00CD434C" w:rsidRPr="00D83FDE">
        <w:rPr>
          <w:rFonts w:ascii="Arial" w:hAnsi="Arial" w:cs="Arial"/>
          <w:bCs/>
          <w:lang w:val="es-ES" w:eastAsia="es-ES"/>
        </w:rPr>
        <w:t xml:space="preserve"> </w:t>
      </w:r>
      <w:r w:rsidR="00CA553C">
        <w:rPr>
          <w:rFonts w:ascii="Arial" w:hAnsi="Arial" w:cs="Arial"/>
          <w:bCs/>
          <w:lang w:val="es-ES" w:eastAsia="es-ES"/>
        </w:rPr>
        <w:t xml:space="preserve">de precios de referencia </w:t>
      </w:r>
      <w:r w:rsidR="00D91C5D" w:rsidRPr="00D83FDE">
        <w:rPr>
          <w:rFonts w:ascii="Arial" w:hAnsi="Arial" w:cs="Arial"/>
          <w:bCs/>
          <w:lang w:val="es-ES" w:eastAsia="es-ES"/>
        </w:rPr>
        <w:t xml:space="preserve">por </w:t>
      </w:r>
      <w:r w:rsidR="00227520" w:rsidRPr="00D83FDE">
        <w:rPr>
          <w:rFonts w:ascii="Arial" w:hAnsi="Arial" w:cs="Arial"/>
          <w:bCs/>
          <w:lang w:val="es-ES" w:eastAsia="es-ES"/>
        </w:rPr>
        <w:t>aplicativo</w:t>
      </w:r>
    </w:p>
    <w:p w14:paraId="6926E798" w14:textId="77777777" w:rsidR="00D91C5D" w:rsidRPr="00D91C5D" w:rsidRDefault="00D91C5D" w:rsidP="00D91C5D">
      <w:pPr>
        <w:pStyle w:val="Prrafodelista"/>
        <w:spacing w:after="0" w:line="240" w:lineRule="auto"/>
        <w:ind w:left="360"/>
        <w:rPr>
          <w:rFonts w:ascii="Arial" w:hAnsi="Arial" w:cs="Arial"/>
          <w:b/>
          <w:bCs/>
        </w:rPr>
      </w:pPr>
    </w:p>
    <w:p w14:paraId="1E8F80B2" w14:textId="3D54E2B6" w:rsidR="00D24D99" w:rsidRPr="00D24D99" w:rsidRDefault="00461E5E" w:rsidP="00D24D99">
      <w:pPr>
        <w:spacing w:after="0" w:line="240" w:lineRule="auto"/>
        <w:rPr>
          <w:rFonts w:ascii="Arial" w:hAnsi="Arial" w:cs="Arial"/>
          <w:b/>
          <w:bCs/>
        </w:rPr>
      </w:pPr>
      <w:r w:rsidRPr="00461E5E">
        <w:rPr>
          <w:noProof/>
          <w:lang w:eastAsia="es-CO"/>
        </w:rPr>
        <w:drawing>
          <wp:inline distT="0" distB="0" distL="0" distR="0" wp14:anchorId="7C8A44E4" wp14:editId="04C5B51C">
            <wp:extent cx="5972175" cy="6924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2175" cy="6924675"/>
                    </a:xfrm>
                    <a:prstGeom prst="rect">
                      <a:avLst/>
                    </a:prstGeom>
                  </pic:spPr>
                </pic:pic>
              </a:graphicData>
            </a:graphic>
          </wp:inline>
        </w:drawing>
      </w:r>
    </w:p>
    <w:p w14:paraId="63AFAA23" w14:textId="4B831749" w:rsidR="008A6E6E" w:rsidRPr="005E76B2" w:rsidRDefault="005C3506" w:rsidP="00586EA9">
      <w:pPr>
        <w:pStyle w:val="Prrafodelista"/>
        <w:numPr>
          <w:ilvl w:val="1"/>
          <w:numId w:val="11"/>
        </w:numPr>
        <w:spacing w:after="0" w:line="240" w:lineRule="auto"/>
        <w:jc w:val="both"/>
        <w:rPr>
          <w:rFonts w:ascii="Arial" w:hAnsi="Arial" w:cs="Arial"/>
          <w:bCs/>
        </w:rPr>
      </w:pPr>
      <w:r w:rsidRPr="00D83FDE">
        <w:rPr>
          <w:rFonts w:ascii="Arial" w:hAnsi="Arial" w:cs="Arial"/>
          <w:bCs/>
          <w:lang w:val="es-ES" w:eastAsia="es-ES"/>
        </w:rPr>
        <w:lastRenderedPageBreak/>
        <w:t>Viabilidad</w:t>
      </w:r>
      <w:r w:rsidR="00CA553C">
        <w:rPr>
          <w:rFonts w:ascii="Arial" w:hAnsi="Arial" w:cs="Arial"/>
          <w:bCs/>
          <w:lang w:val="es-ES" w:eastAsia="es-ES"/>
        </w:rPr>
        <w:t xml:space="preserve"> de precios de referencia</w:t>
      </w:r>
      <w:r w:rsidR="00A80793" w:rsidRPr="00D83FDE">
        <w:rPr>
          <w:rFonts w:ascii="Arial" w:hAnsi="Arial" w:cs="Arial"/>
          <w:bCs/>
          <w:lang w:val="es-ES" w:eastAsia="es-ES"/>
        </w:rPr>
        <w:t xml:space="preserve"> </w:t>
      </w:r>
      <w:r w:rsidR="00227520" w:rsidRPr="00D83FDE">
        <w:rPr>
          <w:rFonts w:ascii="Arial" w:hAnsi="Arial" w:cs="Arial"/>
          <w:bCs/>
          <w:lang w:val="es-ES" w:eastAsia="es-ES"/>
        </w:rPr>
        <w:t>por memorando</w:t>
      </w:r>
    </w:p>
    <w:p w14:paraId="7F2119AB" w14:textId="77777777" w:rsidR="005E76B2" w:rsidRPr="00D83FDE" w:rsidRDefault="005E76B2" w:rsidP="005E76B2">
      <w:pPr>
        <w:pStyle w:val="Prrafodelista"/>
        <w:spacing w:after="0" w:line="240" w:lineRule="auto"/>
        <w:ind w:left="360"/>
        <w:jc w:val="both"/>
        <w:rPr>
          <w:rFonts w:ascii="Arial" w:hAnsi="Arial" w:cs="Arial"/>
          <w:bCs/>
        </w:rPr>
      </w:pPr>
    </w:p>
    <w:p w14:paraId="651EE557" w14:textId="1FA6CA93" w:rsidR="00D7728C" w:rsidRDefault="007A4FA1" w:rsidP="00586EA9">
      <w:pPr>
        <w:spacing w:after="0" w:line="240" w:lineRule="auto"/>
        <w:rPr>
          <w:rFonts w:ascii="Arial" w:hAnsi="Arial" w:cs="Arial"/>
        </w:rPr>
      </w:pPr>
      <w:r w:rsidRPr="007A4FA1">
        <w:rPr>
          <w:noProof/>
          <w:lang w:eastAsia="es-CO"/>
        </w:rPr>
        <w:drawing>
          <wp:inline distT="0" distB="0" distL="0" distR="0" wp14:anchorId="5CB6196E" wp14:editId="7789B90B">
            <wp:extent cx="5972175" cy="59531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2175" cy="5953125"/>
                    </a:xfrm>
                    <a:prstGeom prst="rect">
                      <a:avLst/>
                    </a:prstGeom>
                  </pic:spPr>
                </pic:pic>
              </a:graphicData>
            </a:graphic>
          </wp:inline>
        </w:drawing>
      </w:r>
    </w:p>
    <w:p w14:paraId="6D5138A2" w14:textId="7BB406F2" w:rsidR="007D3BC7" w:rsidRDefault="007D3BC7" w:rsidP="00586EA9">
      <w:pPr>
        <w:spacing w:after="0" w:line="240" w:lineRule="auto"/>
        <w:rPr>
          <w:rFonts w:ascii="Arial" w:hAnsi="Arial" w:cs="Arial"/>
        </w:rPr>
      </w:pPr>
    </w:p>
    <w:p w14:paraId="431D4195" w14:textId="77777777" w:rsidR="004D3725" w:rsidRPr="00D83FDE" w:rsidRDefault="004D3725" w:rsidP="00586EA9">
      <w:pPr>
        <w:pStyle w:val="Prrafodelista"/>
        <w:numPr>
          <w:ilvl w:val="0"/>
          <w:numId w:val="11"/>
        </w:numPr>
        <w:spacing w:after="0" w:line="240" w:lineRule="auto"/>
        <w:jc w:val="both"/>
        <w:rPr>
          <w:rFonts w:ascii="Arial" w:hAnsi="Arial" w:cs="Arial"/>
          <w:bCs/>
        </w:rPr>
      </w:pPr>
      <w:r w:rsidRPr="00D83FDE">
        <w:rPr>
          <w:rFonts w:ascii="Arial" w:hAnsi="Arial" w:cs="Arial"/>
          <w:bCs/>
        </w:rPr>
        <w:t>D</w:t>
      </w:r>
      <w:r w:rsidR="00927EF8" w:rsidRPr="00D83FDE">
        <w:rPr>
          <w:rFonts w:ascii="Arial" w:hAnsi="Arial" w:cs="Arial"/>
          <w:bCs/>
        </w:rPr>
        <w:t>isposiciones de almacenamiento y archivo</w:t>
      </w:r>
    </w:p>
    <w:p w14:paraId="5469B790" w14:textId="77777777" w:rsidR="00927EF8" w:rsidRDefault="00927EF8" w:rsidP="00586EA9">
      <w:pPr>
        <w:spacing w:after="0" w:line="240" w:lineRule="auto"/>
        <w:jc w:val="both"/>
        <w:rPr>
          <w:rFonts w:ascii="Arial" w:hAnsi="Arial" w:cs="Arial"/>
          <w:b/>
        </w:rPr>
      </w:pPr>
    </w:p>
    <w:p w14:paraId="53F50550" w14:textId="77777777" w:rsidR="000E1C33" w:rsidRPr="00040333" w:rsidRDefault="000E1C33" w:rsidP="000E1C33">
      <w:pPr>
        <w:pStyle w:val="Sangradetextonormal"/>
        <w:ind w:left="0" w:right="-29"/>
        <w:rPr>
          <w:rFonts w:ascii="Arial" w:eastAsiaTheme="minorHAnsi" w:hAnsi="Arial" w:cs="Arial"/>
          <w:color w:val="auto"/>
          <w:szCs w:val="22"/>
          <w:lang w:val="es-CO" w:eastAsia="en-US"/>
        </w:rPr>
      </w:pPr>
      <w:r w:rsidRPr="00040333">
        <w:rPr>
          <w:rFonts w:ascii="Arial" w:eastAsiaTheme="minorHAnsi" w:hAnsi="Arial" w:cs="Arial"/>
          <w:color w:val="auto"/>
          <w:szCs w:val="22"/>
          <w:lang w:val="es-CO" w:eastAsia="en-US"/>
        </w:rPr>
        <w:t>Las disposiciones de almacenamiento y archivo de la documentación del Sistema Integrado de Gestión, se realizará de conformidad con lo dispuesto en el Sistema de Gestión Documental y Archivo.</w:t>
      </w:r>
    </w:p>
    <w:p w14:paraId="6D88DFE9" w14:textId="434EEA81" w:rsidR="009B6D95" w:rsidRDefault="009B6D95" w:rsidP="00586EA9">
      <w:pPr>
        <w:spacing w:after="0" w:line="240" w:lineRule="auto"/>
        <w:jc w:val="both"/>
        <w:rPr>
          <w:rFonts w:ascii="Arial" w:hAnsi="Arial" w:cs="Arial"/>
          <w:b/>
        </w:rPr>
      </w:pPr>
    </w:p>
    <w:p w14:paraId="45872ED4" w14:textId="77777777" w:rsidR="00D83FDE" w:rsidRDefault="00D83FDE" w:rsidP="00586EA9">
      <w:pPr>
        <w:spacing w:after="0" w:line="240" w:lineRule="auto"/>
        <w:jc w:val="both"/>
        <w:rPr>
          <w:rFonts w:ascii="Arial" w:hAnsi="Arial" w:cs="Arial"/>
          <w:b/>
        </w:rPr>
      </w:pPr>
    </w:p>
    <w:p w14:paraId="3702CE14" w14:textId="77777777" w:rsidR="00927EF8" w:rsidRPr="00D83FDE" w:rsidRDefault="00927EF8" w:rsidP="00586EA9">
      <w:pPr>
        <w:pStyle w:val="Prrafodelista"/>
        <w:numPr>
          <w:ilvl w:val="0"/>
          <w:numId w:val="11"/>
        </w:numPr>
        <w:spacing w:after="0" w:line="240" w:lineRule="auto"/>
        <w:jc w:val="both"/>
        <w:rPr>
          <w:rFonts w:ascii="Arial" w:hAnsi="Arial" w:cs="Arial"/>
          <w:bCs/>
        </w:rPr>
      </w:pPr>
      <w:r w:rsidRPr="00D83FDE">
        <w:rPr>
          <w:rFonts w:ascii="Arial" w:hAnsi="Arial" w:cs="Arial"/>
          <w:bCs/>
        </w:rPr>
        <w:lastRenderedPageBreak/>
        <w:t>Dependencia encargada de administrar este procedimient</w:t>
      </w:r>
      <w:r w:rsidR="00CB1310" w:rsidRPr="00D83FDE">
        <w:rPr>
          <w:rFonts w:ascii="Arial" w:hAnsi="Arial" w:cs="Arial"/>
          <w:bCs/>
        </w:rPr>
        <w:t>o</w:t>
      </w:r>
    </w:p>
    <w:p w14:paraId="01A8A66B" w14:textId="77777777" w:rsidR="001467E0" w:rsidRDefault="001467E0" w:rsidP="00586EA9">
      <w:pPr>
        <w:spacing w:after="0" w:line="240" w:lineRule="auto"/>
        <w:jc w:val="both"/>
        <w:rPr>
          <w:rFonts w:ascii="Arial" w:hAnsi="Arial" w:cs="Arial"/>
          <w:b/>
        </w:rPr>
      </w:pPr>
    </w:p>
    <w:p w14:paraId="3E04FF7C" w14:textId="69CE0851" w:rsidR="00F94D9A" w:rsidRPr="00C0601E" w:rsidRDefault="00FE6D12" w:rsidP="00586EA9">
      <w:pPr>
        <w:pStyle w:val="Sangradetextonormal"/>
        <w:ind w:left="0" w:right="-29"/>
        <w:rPr>
          <w:rFonts w:ascii="Arial" w:eastAsiaTheme="minorEastAsia" w:hAnsi="Arial" w:cs="Arial"/>
          <w:color w:val="auto"/>
          <w:lang w:val="es-CO" w:eastAsia="en-US"/>
        </w:rPr>
      </w:pPr>
      <w:r>
        <w:rPr>
          <w:rFonts w:ascii="Arial" w:eastAsiaTheme="minorEastAsia" w:hAnsi="Arial" w:cs="Arial"/>
          <w:color w:val="auto"/>
          <w:lang w:val="es-CO" w:eastAsia="en-US"/>
        </w:rPr>
        <w:t xml:space="preserve">Dirección de Análisis y Diseño Estratégico - </w:t>
      </w:r>
      <w:r w:rsidR="000E1859" w:rsidRPr="00C0601E">
        <w:rPr>
          <w:rFonts w:ascii="Arial" w:eastAsiaTheme="minorEastAsia" w:hAnsi="Arial" w:cs="Arial"/>
          <w:color w:val="auto"/>
          <w:lang w:val="es-CO" w:eastAsia="en-US"/>
        </w:rPr>
        <w:t>Subdirección de Diseño, Evaluación y Sistematización</w:t>
      </w:r>
      <w:r w:rsidR="00F94D9A" w:rsidRPr="00C0601E">
        <w:rPr>
          <w:rFonts w:ascii="Arial" w:eastAsiaTheme="minorEastAsia" w:hAnsi="Arial" w:cs="Arial"/>
          <w:color w:val="auto"/>
          <w:lang w:val="es-CO" w:eastAsia="en-US"/>
        </w:rPr>
        <w:t>.</w:t>
      </w:r>
    </w:p>
    <w:p w14:paraId="60C9FCC1" w14:textId="6E1C5E4B" w:rsidR="009B6D95" w:rsidRDefault="009B6D95" w:rsidP="00586EA9">
      <w:pPr>
        <w:spacing w:after="0" w:line="240" w:lineRule="auto"/>
        <w:jc w:val="both"/>
        <w:rPr>
          <w:rFonts w:ascii="Arial" w:hAnsi="Arial" w:cs="Arial"/>
          <w:b/>
        </w:rPr>
      </w:pPr>
    </w:p>
    <w:p w14:paraId="515A56EF" w14:textId="77777777" w:rsidR="00D83FDE" w:rsidRDefault="00D83FDE" w:rsidP="00586EA9">
      <w:pPr>
        <w:spacing w:after="0" w:line="240" w:lineRule="auto"/>
        <w:jc w:val="both"/>
        <w:rPr>
          <w:rFonts w:ascii="Arial" w:hAnsi="Arial" w:cs="Arial"/>
          <w:b/>
        </w:rPr>
      </w:pPr>
    </w:p>
    <w:p w14:paraId="3FF27312" w14:textId="5B6AF19F" w:rsidR="00927EF8" w:rsidRPr="00D83FDE" w:rsidRDefault="00927EF8" w:rsidP="00586EA9">
      <w:pPr>
        <w:pStyle w:val="Prrafodelista"/>
        <w:numPr>
          <w:ilvl w:val="0"/>
          <w:numId w:val="11"/>
        </w:numPr>
        <w:spacing w:after="0" w:line="240" w:lineRule="auto"/>
        <w:jc w:val="both"/>
        <w:rPr>
          <w:rFonts w:ascii="Arial" w:hAnsi="Arial" w:cs="Arial"/>
          <w:bCs/>
        </w:rPr>
      </w:pPr>
      <w:r w:rsidRPr="00D83FDE">
        <w:rPr>
          <w:rFonts w:ascii="Arial" w:hAnsi="Arial" w:cs="Arial"/>
          <w:bCs/>
        </w:rPr>
        <w:t>Documentos asociados</w:t>
      </w:r>
    </w:p>
    <w:p w14:paraId="30C44DAC" w14:textId="77777777" w:rsidR="00D83FDE" w:rsidRPr="00C0601E" w:rsidRDefault="00D83FDE" w:rsidP="00D83FDE">
      <w:pPr>
        <w:pStyle w:val="Prrafodelista"/>
        <w:spacing w:after="0" w:line="240" w:lineRule="auto"/>
        <w:ind w:left="360"/>
        <w:jc w:val="both"/>
        <w:rPr>
          <w:rFonts w:ascii="Arial" w:hAnsi="Arial" w:cs="Arial"/>
          <w:b/>
          <w:bCs/>
        </w:rPr>
      </w:pPr>
    </w:p>
    <w:p w14:paraId="5EA5572C" w14:textId="72C0BCF4" w:rsidR="00AC7E18" w:rsidRPr="00A349CE" w:rsidRDefault="004608A7" w:rsidP="0040251D">
      <w:pPr>
        <w:numPr>
          <w:ilvl w:val="0"/>
          <w:numId w:val="22"/>
        </w:numPr>
        <w:shd w:val="clear" w:color="auto" w:fill="FFFFFF"/>
        <w:tabs>
          <w:tab w:val="clear" w:pos="720"/>
          <w:tab w:val="num" w:pos="567"/>
        </w:tabs>
        <w:spacing w:after="0" w:line="240" w:lineRule="auto"/>
        <w:ind w:left="426" w:hanging="426"/>
        <w:jc w:val="both"/>
        <w:rPr>
          <w:rFonts w:ascii="Arial" w:eastAsiaTheme="minorEastAsia" w:hAnsi="Arial" w:cs="Arial"/>
          <w:szCs w:val="20"/>
        </w:rPr>
      </w:pPr>
      <w:r w:rsidRPr="00A349CE">
        <w:rPr>
          <w:rFonts w:ascii="Arial" w:eastAsiaTheme="minorEastAsia" w:hAnsi="Arial" w:cs="Arial"/>
          <w:szCs w:val="20"/>
        </w:rPr>
        <w:t>LIN-</w:t>
      </w:r>
      <w:r w:rsidR="00C001B6" w:rsidRPr="00A349CE">
        <w:rPr>
          <w:rFonts w:ascii="Arial" w:eastAsiaTheme="minorEastAsia" w:hAnsi="Arial" w:cs="Arial"/>
          <w:szCs w:val="20"/>
        </w:rPr>
        <w:t>PE-</w:t>
      </w:r>
      <w:r w:rsidR="004A4E89" w:rsidRPr="00A349CE">
        <w:rPr>
          <w:rFonts w:ascii="Arial" w:eastAsiaTheme="minorEastAsia" w:hAnsi="Arial" w:cs="Arial"/>
          <w:szCs w:val="20"/>
        </w:rPr>
        <w:t>001</w:t>
      </w:r>
      <w:r w:rsidRPr="00A349CE">
        <w:rPr>
          <w:rFonts w:ascii="Arial" w:eastAsiaTheme="minorEastAsia" w:hAnsi="Arial" w:cs="Arial"/>
          <w:szCs w:val="20"/>
        </w:rPr>
        <w:t xml:space="preserve"> </w:t>
      </w:r>
      <w:r w:rsidR="00AC7E18" w:rsidRPr="00A349CE">
        <w:rPr>
          <w:rFonts w:ascii="Arial" w:eastAsiaTheme="minorEastAsia" w:hAnsi="Arial" w:cs="Arial"/>
          <w:szCs w:val="20"/>
        </w:rPr>
        <w:t>Lineamiento Identificación de fuentes de información en la adquisición de bienes y servicios</w:t>
      </w:r>
    </w:p>
    <w:p w14:paraId="407C12E8" w14:textId="7C712657" w:rsidR="00AC7E18" w:rsidRPr="00A349CE" w:rsidRDefault="00C001B6" w:rsidP="0040251D">
      <w:pPr>
        <w:numPr>
          <w:ilvl w:val="0"/>
          <w:numId w:val="22"/>
        </w:numPr>
        <w:shd w:val="clear" w:color="auto" w:fill="FFFFFF"/>
        <w:tabs>
          <w:tab w:val="clear" w:pos="720"/>
          <w:tab w:val="num" w:pos="567"/>
        </w:tabs>
        <w:spacing w:after="0" w:line="240" w:lineRule="auto"/>
        <w:ind w:left="426" w:hanging="426"/>
        <w:jc w:val="both"/>
        <w:rPr>
          <w:rFonts w:ascii="Arial" w:eastAsiaTheme="minorEastAsia" w:hAnsi="Arial" w:cs="Arial"/>
          <w:szCs w:val="20"/>
        </w:rPr>
      </w:pPr>
      <w:r w:rsidRPr="00A349CE">
        <w:rPr>
          <w:rFonts w:ascii="Arial" w:eastAsiaTheme="minorEastAsia" w:hAnsi="Arial" w:cs="Arial"/>
          <w:szCs w:val="20"/>
        </w:rPr>
        <w:t>MNL-PE-010</w:t>
      </w:r>
      <w:r w:rsidR="008352D2" w:rsidRPr="00A349CE">
        <w:rPr>
          <w:rFonts w:ascii="Arial" w:eastAsiaTheme="minorEastAsia" w:hAnsi="Arial" w:cs="Arial"/>
          <w:szCs w:val="20"/>
        </w:rPr>
        <w:t xml:space="preserve"> </w:t>
      </w:r>
      <w:r w:rsidR="00AC7E18" w:rsidRPr="00A349CE">
        <w:rPr>
          <w:rFonts w:ascii="Arial" w:eastAsiaTheme="minorEastAsia" w:hAnsi="Arial" w:cs="Arial"/>
          <w:szCs w:val="20"/>
        </w:rPr>
        <w:t>Manual Adopción de los cambios normativos generados por el Decreto 092 de 2017 en la Secretaría Distrital de Integración Social  </w:t>
      </w:r>
    </w:p>
    <w:p w14:paraId="45C16E1A" w14:textId="671DE0AA" w:rsidR="00AC7E18" w:rsidRPr="00A349CE" w:rsidRDefault="008352D2" w:rsidP="0040251D">
      <w:pPr>
        <w:numPr>
          <w:ilvl w:val="0"/>
          <w:numId w:val="22"/>
        </w:numPr>
        <w:shd w:val="clear" w:color="auto" w:fill="FFFFFF"/>
        <w:tabs>
          <w:tab w:val="clear" w:pos="720"/>
          <w:tab w:val="num" w:pos="567"/>
        </w:tabs>
        <w:spacing w:after="0" w:line="240" w:lineRule="auto"/>
        <w:ind w:left="426" w:hanging="426"/>
        <w:jc w:val="both"/>
        <w:rPr>
          <w:rFonts w:ascii="Arial" w:eastAsiaTheme="minorEastAsia" w:hAnsi="Arial" w:cs="Arial"/>
          <w:szCs w:val="20"/>
        </w:rPr>
      </w:pPr>
      <w:r w:rsidRPr="00A349CE">
        <w:rPr>
          <w:rFonts w:ascii="Arial" w:eastAsiaTheme="minorEastAsia" w:hAnsi="Arial" w:cs="Arial"/>
          <w:szCs w:val="20"/>
        </w:rPr>
        <w:t>INS-PE-</w:t>
      </w:r>
      <w:r w:rsidR="004A4E89" w:rsidRPr="00A349CE">
        <w:rPr>
          <w:rFonts w:ascii="Arial" w:eastAsiaTheme="minorEastAsia" w:hAnsi="Arial" w:cs="Arial"/>
          <w:szCs w:val="20"/>
        </w:rPr>
        <w:t>007</w:t>
      </w:r>
      <w:r w:rsidRPr="00A349CE">
        <w:rPr>
          <w:rFonts w:ascii="Arial" w:eastAsiaTheme="minorEastAsia" w:hAnsi="Arial" w:cs="Arial"/>
          <w:szCs w:val="20"/>
        </w:rPr>
        <w:t xml:space="preserve"> </w:t>
      </w:r>
      <w:r w:rsidR="00AC7E18" w:rsidRPr="00A349CE">
        <w:rPr>
          <w:rFonts w:ascii="Arial" w:eastAsiaTheme="minorEastAsia" w:hAnsi="Arial" w:cs="Arial"/>
          <w:szCs w:val="20"/>
        </w:rPr>
        <w:t>Instructivo Viabilidad de precios de referencia </w:t>
      </w:r>
    </w:p>
    <w:p w14:paraId="753673ED" w14:textId="0040B5B3" w:rsidR="000C4E53" w:rsidRPr="00143E8E" w:rsidRDefault="000C4E53" w:rsidP="0040251D">
      <w:pPr>
        <w:numPr>
          <w:ilvl w:val="0"/>
          <w:numId w:val="22"/>
        </w:numPr>
        <w:shd w:val="clear" w:color="auto" w:fill="FFFFFF"/>
        <w:tabs>
          <w:tab w:val="clear" w:pos="720"/>
          <w:tab w:val="num" w:pos="567"/>
        </w:tabs>
        <w:spacing w:after="0" w:line="240" w:lineRule="auto"/>
        <w:ind w:left="426" w:hanging="426"/>
        <w:jc w:val="both"/>
        <w:rPr>
          <w:rFonts w:ascii="Arial" w:eastAsiaTheme="minorEastAsia" w:hAnsi="Arial" w:cs="Arial"/>
          <w:szCs w:val="20"/>
        </w:rPr>
      </w:pPr>
      <w:r w:rsidRPr="008352D2">
        <w:rPr>
          <w:rFonts w:ascii="Arial" w:eastAsiaTheme="minorEastAsia" w:hAnsi="Arial" w:cs="Arial"/>
          <w:szCs w:val="20"/>
        </w:rPr>
        <w:t>FOR-</w:t>
      </w:r>
      <w:r>
        <w:rPr>
          <w:rFonts w:ascii="Arial" w:eastAsiaTheme="minorEastAsia" w:hAnsi="Arial" w:cs="Arial"/>
          <w:szCs w:val="20"/>
        </w:rPr>
        <w:t>PE-</w:t>
      </w:r>
      <w:r w:rsidR="004A4E89">
        <w:rPr>
          <w:rFonts w:ascii="Arial" w:eastAsiaTheme="minorEastAsia" w:hAnsi="Arial" w:cs="Arial"/>
          <w:szCs w:val="20"/>
        </w:rPr>
        <w:t>039</w:t>
      </w:r>
      <w:r w:rsidRPr="008352D2">
        <w:rPr>
          <w:rFonts w:ascii="Arial" w:eastAsiaTheme="minorEastAsia" w:hAnsi="Arial" w:cs="Arial"/>
          <w:szCs w:val="20"/>
        </w:rPr>
        <w:t xml:space="preserve"> </w:t>
      </w:r>
      <w:r w:rsidRPr="00143E8E">
        <w:rPr>
          <w:rFonts w:ascii="Arial" w:eastAsiaTheme="minorEastAsia" w:hAnsi="Arial" w:cs="Arial"/>
          <w:szCs w:val="20"/>
        </w:rPr>
        <w:t>Formato Presentación de precios de referencia </w:t>
      </w:r>
    </w:p>
    <w:p w14:paraId="28A9C4CC" w14:textId="4D8742A2" w:rsidR="00AC7E18" w:rsidRPr="008352D2" w:rsidRDefault="008352D2" w:rsidP="0040251D">
      <w:pPr>
        <w:numPr>
          <w:ilvl w:val="0"/>
          <w:numId w:val="22"/>
        </w:numPr>
        <w:shd w:val="clear" w:color="auto" w:fill="FFFFFF"/>
        <w:tabs>
          <w:tab w:val="clear" w:pos="720"/>
          <w:tab w:val="num" w:pos="567"/>
        </w:tabs>
        <w:spacing w:after="0" w:line="240" w:lineRule="auto"/>
        <w:ind w:left="426" w:hanging="426"/>
        <w:jc w:val="both"/>
        <w:rPr>
          <w:rFonts w:ascii="Arial" w:eastAsiaTheme="minorEastAsia" w:hAnsi="Arial" w:cs="Arial"/>
          <w:szCs w:val="20"/>
        </w:rPr>
      </w:pPr>
      <w:r w:rsidRPr="008352D2">
        <w:rPr>
          <w:rFonts w:ascii="Arial" w:eastAsiaTheme="minorEastAsia" w:hAnsi="Arial" w:cs="Arial"/>
          <w:szCs w:val="20"/>
        </w:rPr>
        <w:t>FOR-</w:t>
      </w:r>
      <w:r w:rsidRPr="001E2C53">
        <w:rPr>
          <w:rFonts w:ascii="Arial" w:eastAsiaTheme="minorEastAsia" w:hAnsi="Arial" w:cs="Arial"/>
          <w:szCs w:val="20"/>
        </w:rPr>
        <w:t>PE-</w:t>
      </w:r>
      <w:r w:rsidR="004A4E89" w:rsidRPr="00DF0BCD">
        <w:rPr>
          <w:rFonts w:ascii="Arial" w:eastAsiaTheme="minorEastAsia" w:hAnsi="Arial" w:cs="Arial"/>
          <w:szCs w:val="20"/>
        </w:rPr>
        <w:t>040</w:t>
      </w:r>
      <w:r w:rsidRPr="008352D2">
        <w:rPr>
          <w:rFonts w:ascii="Arial" w:eastAsiaTheme="minorEastAsia" w:hAnsi="Arial" w:cs="Arial"/>
          <w:szCs w:val="20"/>
        </w:rPr>
        <w:t xml:space="preserve"> </w:t>
      </w:r>
      <w:r w:rsidR="00AC7E18" w:rsidRPr="008352D2">
        <w:rPr>
          <w:rFonts w:ascii="Arial" w:eastAsiaTheme="minorEastAsia" w:hAnsi="Arial" w:cs="Arial"/>
          <w:szCs w:val="20"/>
        </w:rPr>
        <w:t>Formato Ficha técnica viabilidad de precios de referencia  </w:t>
      </w:r>
    </w:p>
    <w:p w14:paraId="53F27C2F" w14:textId="733419A6" w:rsidR="00AB7AB9" w:rsidRPr="00AB7AB9" w:rsidRDefault="00095E87" w:rsidP="0040251D">
      <w:pPr>
        <w:numPr>
          <w:ilvl w:val="0"/>
          <w:numId w:val="22"/>
        </w:numPr>
        <w:shd w:val="clear" w:color="auto" w:fill="FFFFFF"/>
        <w:tabs>
          <w:tab w:val="clear" w:pos="720"/>
          <w:tab w:val="num" w:pos="567"/>
        </w:tabs>
        <w:spacing w:after="0" w:line="240" w:lineRule="auto"/>
        <w:ind w:left="426" w:hanging="426"/>
        <w:jc w:val="both"/>
        <w:rPr>
          <w:rFonts w:ascii="Arial" w:hAnsi="Arial" w:cs="Arial"/>
          <w:b/>
        </w:rPr>
      </w:pPr>
      <w:r>
        <w:rPr>
          <w:rFonts w:ascii="Arial" w:hAnsi="Arial" w:cs="Arial"/>
        </w:rPr>
        <w:t>Anexo 1</w:t>
      </w:r>
      <w:r w:rsidR="00125B8A">
        <w:rPr>
          <w:rFonts w:ascii="Arial" w:hAnsi="Arial" w:cs="Arial"/>
        </w:rPr>
        <w:t>. D</w:t>
      </w:r>
      <w:r w:rsidRPr="007062E4">
        <w:rPr>
          <w:rFonts w:ascii="Arial" w:hAnsi="Arial" w:cs="Arial"/>
        </w:rPr>
        <w:t>ocumento de validación de precios de referencia</w:t>
      </w:r>
      <w:r>
        <w:rPr>
          <w:rFonts w:ascii="Arial" w:hAnsi="Arial" w:cs="Arial"/>
        </w:rPr>
        <w:t xml:space="preserve"> (túnel)</w:t>
      </w:r>
    </w:p>
    <w:p w14:paraId="3B8699A4" w14:textId="3401851F" w:rsidR="00AB7AB9" w:rsidRPr="009F127C" w:rsidRDefault="00AB7AB9" w:rsidP="00DF0BCD">
      <w:pPr>
        <w:numPr>
          <w:ilvl w:val="0"/>
          <w:numId w:val="22"/>
        </w:numPr>
        <w:shd w:val="clear" w:color="auto" w:fill="FFFFFF"/>
        <w:tabs>
          <w:tab w:val="clear" w:pos="720"/>
          <w:tab w:val="num" w:pos="567"/>
        </w:tabs>
        <w:spacing w:after="0" w:line="240" w:lineRule="auto"/>
        <w:ind w:left="426" w:hanging="426"/>
        <w:jc w:val="both"/>
        <w:rPr>
          <w:rFonts w:ascii="Arial" w:hAnsi="Arial" w:cs="Arial"/>
          <w:b/>
        </w:rPr>
      </w:pPr>
      <w:r>
        <w:rPr>
          <w:rFonts w:ascii="Arial" w:hAnsi="Arial" w:cs="Arial"/>
        </w:rPr>
        <w:t>A</w:t>
      </w:r>
      <w:r w:rsidRPr="003F0266">
        <w:rPr>
          <w:rFonts w:ascii="Arial" w:hAnsi="Arial" w:cs="Arial"/>
        </w:rPr>
        <w:t>nexo 2</w:t>
      </w:r>
      <w:r w:rsidR="00125B8A">
        <w:rPr>
          <w:rFonts w:ascii="Arial" w:hAnsi="Arial" w:cs="Arial"/>
        </w:rPr>
        <w:t xml:space="preserve">. </w:t>
      </w:r>
      <w:r w:rsidRPr="003F0266">
        <w:rPr>
          <w:rFonts w:ascii="Arial" w:hAnsi="Arial" w:cs="Arial"/>
        </w:rPr>
        <w:t>Metodología para el cálculo de los precios de referencia en la compra de alimentos</w:t>
      </w:r>
    </w:p>
    <w:p w14:paraId="38EE5C1F" w14:textId="77777777" w:rsidR="009F127C" w:rsidRPr="00143E8E" w:rsidRDefault="009F127C" w:rsidP="0040251D">
      <w:pPr>
        <w:numPr>
          <w:ilvl w:val="0"/>
          <w:numId w:val="22"/>
        </w:numPr>
        <w:shd w:val="clear" w:color="auto" w:fill="FFFFFF"/>
        <w:tabs>
          <w:tab w:val="clear" w:pos="720"/>
          <w:tab w:val="num" w:pos="567"/>
        </w:tabs>
        <w:spacing w:after="0" w:line="240" w:lineRule="auto"/>
        <w:ind w:left="426" w:hanging="426"/>
        <w:jc w:val="both"/>
        <w:rPr>
          <w:rFonts w:ascii="Arial" w:eastAsiaTheme="minorEastAsia" w:hAnsi="Arial" w:cs="Arial"/>
          <w:szCs w:val="20"/>
        </w:rPr>
      </w:pPr>
      <w:r w:rsidRPr="00143E8E">
        <w:rPr>
          <w:rFonts w:ascii="Arial" w:eastAsiaTheme="minorEastAsia" w:hAnsi="Arial" w:cs="Arial"/>
          <w:szCs w:val="20"/>
        </w:rPr>
        <w:t>Listado precios de referencia plantas físicas 2018</w:t>
      </w:r>
    </w:p>
    <w:p w14:paraId="59BC0CBB" w14:textId="45A96889" w:rsidR="00E53306" w:rsidRPr="00125B8A" w:rsidRDefault="009F127C" w:rsidP="007A2200">
      <w:pPr>
        <w:numPr>
          <w:ilvl w:val="0"/>
          <w:numId w:val="22"/>
        </w:numPr>
        <w:shd w:val="clear" w:color="auto" w:fill="FFFFFF"/>
        <w:tabs>
          <w:tab w:val="clear" w:pos="720"/>
          <w:tab w:val="num" w:pos="567"/>
        </w:tabs>
        <w:spacing w:after="0" w:line="240" w:lineRule="auto"/>
        <w:ind w:left="426" w:hanging="426"/>
        <w:jc w:val="both"/>
        <w:rPr>
          <w:rFonts w:ascii="Arial" w:hAnsi="Arial" w:cs="Arial"/>
          <w:b/>
        </w:rPr>
      </w:pPr>
      <w:r w:rsidRPr="00D020A8">
        <w:rPr>
          <w:rFonts w:ascii="Arial" w:eastAsiaTheme="minorEastAsia" w:hAnsi="Arial" w:cs="Arial"/>
          <w:szCs w:val="20"/>
        </w:rPr>
        <w:t>Listado precios de referencia plantas físicas 2019</w:t>
      </w:r>
    </w:p>
    <w:p w14:paraId="525F9BF1" w14:textId="77777777" w:rsidR="009F127C" w:rsidRPr="00D020A8" w:rsidRDefault="009F127C" w:rsidP="009F127C">
      <w:pPr>
        <w:shd w:val="clear" w:color="auto" w:fill="FFFFFF"/>
        <w:spacing w:after="0" w:line="240" w:lineRule="auto"/>
        <w:ind w:left="426"/>
        <w:jc w:val="both"/>
        <w:rPr>
          <w:rFonts w:ascii="Arial" w:hAnsi="Arial" w:cs="Arial"/>
          <w:b/>
        </w:rPr>
      </w:pPr>
    </w:p>
    <w:p w14:paraId="4E33AE8A" w14:textId="77777777" w:rsidR="00AB7AB9" w:rsidRPr="00D020A8" w:rsidRDefault="00AB7AB9" w:rsidP="00D020A8">
      <w:pPr>
        <w:shd w:val="clear" w:color="auto" w:fill="FFFFFF"/>
        <w:spacing w:after="0" w:line="240" w:lineRule="auto"/>
        <w:ind w:left="426"/>
        <w:jc w:val="both"/>
        <w:rPr>
          <w:rFonts w:ascii="Arial" w:hAnsi="Arial" w:cs="Arial"/>
          <w:b/>
        </w:rPr>
      </w:pPr>
    </w:p>
    <w:p w14:paraId="34CEF185" w14:textId="77777777" w:rsidR="00435E22" w:rsidRPr="00AB7AB9" w:rsidRDefault="00D203E5" w:rsidP="00586EA9">
      <w:pPr>
        <w:pStyle w:val="Prrafodelista"/>
        <w:numPr>
          <w:ilvl w:val="0"/>
          <w:numId w:val="11"/>
        </w:numPr>
        <w:spacing w:after="0" w:line="240" w:lineRule="auto"/>
        <w:jc w:val="both"/>
        <w:rPr>
          <w:rFonts w:ascii="Arial" w:hAnsi="Arial" w:cs="Arial"/>
          <w:bCs/>
        </w:rPr>
      </w:pPr>
      <w:r w:rsidRPr="00AB7AB9">
        <w:rPr>
          <w:rFonts w:ascii="Arial" w:hAnsi="Arial" w:cs="Arial"/>
          <w:bCs/>
        </w:rPr>
        <w:t>Aprobación del documento</w:t>
      </w:r>
    </w:p>
    <w:p w14:paraId="021442F4" w14:textId="77777777" w:rsidR="00067870" w:rsidRDefault="00067870" w:rsidP="00586EA9">
      <w:pPr>
        <w:spacing w:after="0" w:line="240" w:lineRule="auto"/>
        <w:jc w:val="both"/>
        <w:rPr>
          <w:rFonts w:ascii="Arial" w:hAnsi="Arial" w:cs="Arial"/>
          <w:b/>
        </w:rPr>
      </w:pPr>
    </w:p>
    <w:p w14:paraId="5E5930A1" w14:textId="77777777" w:rsidR="00067870" w:rsidRPr="00067870" w:rsidRDefault="00067870" w:rsidP="00586EA9">
      <w:pPr>
        <w:spacing w:after="0" w:line="240" w:lineRule="auto"/>
        <w:jc w:val="both"/>
        <w:rPr>
          <w:rFonts w:ascii="Arial" w:hAnsi="Arial" w:cs="Arial"/>
          <w:b/>
        </w:rPr>
      </w:pPr>
    </w:p>
    <w:tbl>
      <w:tblPr>
        <w:tblStyle w:val="Tablaconcuadrcula"/>
        <w:tblW w:w="0" w:type="auto"/>
        <w:jc w:val="right"/>
        <w:tblLook w:val="04A0" w:firstRow="1" w:lastRow="0" w:firstColumn="1" w:lastColumn="0" w:noHBand="0" w:noVBand="1"/>
      </w:tblPr>
      <w:tblGrid>
        <w:gridCol w:w="821"/>
        <w:gridCol w:w="2865"/>
        <w:gridCol w:w="3118"/>
        <w:gridCol w:w="2410"/>
      </w:tblGrid>
      <w:tr w:rsidR="0079125C" w:rsidRPr="00067870" w14:paraId="2299A1DF" w14:textId="77777777" w:rsidTr="003C7263">
        <w:trPr>
          <w:trHeight w:val="294"/>
          <w:jc w:val="right"/>
        </w:trPr>
        <w:tc>
          <w:tcPr>
            <w:tcW w:w="821" w:type="dxa"/>
            <w:tcBorders>
              <w:top w:val="nil"/>
              <w:left w:val="nil"/>
              <w:bottom w:val="single" w:sz="4" w:space="0" w:color="auto"/>
              <w:right w:val="single" w:sz="4" w:space="0" w:color="auto"/>
            </w:tcBorders>
            <w:vAlign w:val="center"/>
          </w:tcPr>
          <w:p w14:paraId="1EAB6DDB" w14:textId="77777777" w:rsidR="0079125C" w:rsidRPr="00067870" w:rsidRDefault="0079125C" w:rsidP="00586EA9">
            <w:pPr>
              <w:jc w:val="both"/>
              <w:rPr>
                <w:rFonts w:ascii="Arial" w:hAnsi="Arial" w:cs="Arial"/>
                <w:sz w:val="16"/>
                <w:szCs w:val="16"/>
              </w:rPr>
            </w:pPr>
          </w:p>
        </w:tc>
        <w:tc>
          <w:tcPr>
            <w:tcW w:w="2865" w:type="dxa"/>
            <w:tcBorders>
              <w:left w:val="single" w:sz="4" w:space="0" w:color="auto"/>
            </w:tcBorders>
            <w:vAlign w:val="center"/>
          </w:tcPr>
          <w:p w14:paraId="31A21B1D" w14:textId="77777777" w:rsidR="0079125C" w:rsidRPr="00C0601E" w:rsidRDefault="000F67BD" w:rsidP="00586EA9">
            <w:pPr>
              <w:jc w:val="center"/>
              <w:rPr>
                <w:rFonts w:ascii="Arial" w:hAnsi="Arial" w:cs="Arial"/>
                <w:b/>
                <w:bCs/>
                <w:sz w:val="16"/>
                <w:szCs w:val="16"/>
              </w:rPr>
            </w:pPr>
            <w:r w:rsidRPr="00726CE6">
              <w:rPr>
                <w:rFonts w:ascii="Arial" w:hAnsi="Arial" w:cs="Arial"/>
                <w:b/>
                <w:bCs/>
                <w:sz w:val="16"/>
                <w:szCs w:val="16"/>
              </w:rPr>
              <w:t>Elaboró</w:t>
            </w:r>
          </w:p>
        </w:tc>
        <w:tc>
          <w:tcPr>
            <w:tcW w:w="3118" w:type="dxa"/>
            <w:vAlign w:val="center"/>
          </w:tcPr>
          <w:p w14:paraId="32F6F5FC" w14:textId="77777777" w:rsidR="0079125C" w:rsidRPr="00C0601E" w:rsidRDefault="000F67BD" w:rsidP="00586EA9">
            <w:pPr>
              <w:jc w:val="center"/>
              <w:rPr>
                <w:rFonts w:ascii="Arial" w:hAnsi="Arial" w:cs="Arial"/>
                <w:b/>
                <w:bCs/>
                <w:sz w:val="16"/>
                <w:szCs w:val="16"/>
              </w:rPr>
            </w:pPr>
            <w:r w:rsidRPr="00726CE6">
              <w:rPr>
                <w:rFonts w:ascii="Arial" w:hAnsi="Arial" w:cs="Arial"/>
                <w:b/>
                <w:bCs/>
                <w:sz w:val="16"/>
                <w:szCs w:val="16"/>
              </w:rPr>
              <w:t>Revisó</w:t>
            </w:r>
          </w:p>
        </w:tc>
        <w:tc>
          <w:tcPr>
            <w:tcW w:w="2410" w:type="dxa"/>
            <w:vAlign w:val="center"/>
          </w:tcPr>
          <w:p w14:paraId="4747A534" w14:textId="77777777" w:rsidR="0079125C" w:rsidRPr="00C0601E" w:rsidRDefault="000F67BD" w:rsidP="00586EA9">
            <w:pPr>
              <w:jc w:val="center"/>
              <w:rPr>
                <w:rFonts w:ascii="Arial" w:hAnsi="Arial" w:cs="Arial"/>
                <w:b/>
                <w:bCs/>
                <w:sz w:val="16"/>
                <w:szCs w:val="16"/>
              </w:rPr>
            </w:pPr>
            <w:r w:rsidRPr="00726CE6">
              <w:rPr>
                <w:rFonts w:ascii="Arial" w:hAnsi="Arial" w:cs="Arial"/>
                <w:b/>
                <w:bCs/>
                <w:sz w:val="16"/>
                <w:szCs w:val="16"/>
              </w:rPr>
              <w:t>Aprobó</w:t>
            </w:r>
          </w:p>
        </w:tc>
      </w:tr>
      <w:tr w:rsidR="0079125C" w:rsidRPr="00067870" w14:paraId="0AFBECB2" w14:textId="77777777" w:rsidTr="00BD2CDA">
        <w:trPr>
          <w:trHeight w:val="907"/>
          <w:jc w:val="right"/>
        </w:trPr>
        <w:tc>
          <w:tcPr>
            <w:tcW w:w="821" w:type="dxa"/>
            <w:tcBorders>
              <w:top w:val="single" w:sz="4" w:space="0" w:color="auto"/>
            </w:tcBorders>
            <w:vAlign w:val="center"/>
          </w:tcPr>
          <w:p w14:paraId="7AE3A3A7" w14:textId="77777777" w:rsidR="0079125C" w:rsidRPr="00C0601E" w:rsidRDefault="000F67BD" w:rsidP="00586EA9">
            <w:pPr>
              <w:jc w:val="both"/>
              <w:rPr>
                <w:rFonts w:ascii="Arial" w:hAnsi="Arial" w:cs="Arial"/>
                <w:b/>
                <w:bCs/>
                <w:sz w:val="16"/>
                <w:szCs w:val="16"/>
              </w:rPr>
            </w:pPr>
            <w:r w:rsidRPr="00726CE6">
              <w:rPr>
                <w:rFonts w:ascii="Arial" w:hAnsi="Arial" w:cs="Arial"/>
                <w:b/>
                <w:bCs/>
                <w:sz w:val="16"/>
                <w:szCs w:val="16"/>
              </w:rPr>
              <w:t>Nombre</w:t>
            </w:r>
          </w:p>
        </w:tc>
        <w:tc>
          <w:tcPr>
            <w:tcW w:w="2865" w:type="dxa"/>
            <w:vAlign w:val="center"/>
          </w:tcPr>
          <w:p w14:paraId="24D5D5E4" w14:textId="66076940" w:rsidR="00F92076" w:rsidRDefault="005A153E" w:rsidP="00927D10">
            <w:pPr>
              <w:jc w:val="center"/>
              <w:rPr>
                <w:rFonts w:ascii="Arial" w:hAnsi="Arial" w:cs="Arial"/>
                <w:sz w:val="16"/>
                <w:szCs w:val="16"/>
              </w:rPr>
            </w:pPr>
            <w:r>
              <w:rPr>
                <w:rFonts w:ascii="Arial" w:hAnsi="Arial" w:cs="Arial"/>
                <w:sz w:val="16"/>
                <w:szCs w:val="16"/>
              </w:rPr>
              <w:t xml:space="preserve">Angie </w:t>
            </w:r>
            <w:r w:rsidR="00F92076">
              <w:rPr>
                <w:rFonts w:ascii="Arial" w:hAnsi="Arial" w:cs="Arial"/>
                <w:sz w:val="16"/>
                <w:szCs w:val="16"/>
              </w:rPr>
              <w:t>Paola Ospina</w:t>
            </w:r>
          </w:p>
          <w:p w14:paraId="55CB5FD1" w14:textId="77777777" w:rsidR="002428C2" w:rsidRDefault="002428C2" w:rsidP="00927D10">
            <w:pPr>
              <w:jc w:val="center"/>
              <w:rPr>
                <w:rFonts w:ascii="Arial" w:hAnsi="Arial" w:cs="Arial"/>
                <w:sz w:val="16"/>
                <w:szCs w:val="16"/>
              </w:rPr>
            </w:pPr>
          </w:p>
          <w:p w14:paraId="79A0F303" w14:textId="7318A938" w:rsidR="00D62F62" w:rsidRPr="00067870" w:rsidRDefault="00F92076" w:rsidP="003C7263">
            <w:pPr>
              <w:jc w:val="center"/>
              <w:rPr>
                <w:rFonts w:ascii="Arial" w:hAnsi="Arial" w:cs="Arial"/>
                <w:sz w:val="16"/>
                <w:szCs w:val="16"/>
              </w:rPr>
            </w:pPr>
            <w:r>
              <w:rPr>
                <w:rFonts w:ascii="Arial" w:hAnsi="Arial" w:cs="Arial"/>
                <w:sz w:val="16"/>
                <w:szCs w:val="16"/>
              </w:rPr>
              <w:t>Darwin López Daza</w:t>
            </w:r>
          </w:p>
        </w:tc>
        <w:tc>
          <w:tcPr>
            <w:tcW w:w="3118" w:type="dxa"/>
            <w:vAlign w:val="center"/>
          </w:tcPr>
          <w:p w14:paraId="459D79AD" w14:textId="7B455187" w:rsidR="001D6E41" w:rsidRDefault="00F3218E" w:rsidP="00927D10">
            <w:pPr>
              <w:jc w:val="center"/>
              <w:rPr>
                <w:rFonts w:ascii="Arial" w:hAnsi="Arial" w:cs="Arial"/>
                <w:sz w:val="16"/>
                <w:szCs w:val="16"/>
              </w:rPr>
            </w:pPr>
            <w:r>
              <w:rPr>
                <w:rFonts w:ascii="Arial" w:hAnsi="Arial" w:cs="Arial"/>
                <w:sz w:val="16"/>
                <w:szCs w:val="16"/>
              </w:rPr>
              <w:t xml:space="preserve">Luis </w:t>
            </w:r>
            <w:r w:rsidR="001D6E41" w:rsidRPr="00067870">
              <w:rPr>
                <w:rFonts w:ascii="Arial" w:hAnsi="Arial" w:cs="Arial"/>
                <w:sz w:val="16"/>
                <w:szCs w:val="16"/>
              </w:rPr>
              <w:t>Alberto Rubio Herrera</w:t>
            </w:r>
          </w:p>
          <w:p w14:paraId="2D2C2B82" w14:textId="128DD7F8" w:rsidR="00927D10" w:rsidRDefault="00927D10" w:rsidP="00927D10">
            <w:pPr>
              <w:jc w:val="center"/>
              <w:rPr>
                <w:rFonts w:ascii="Arial" w:hAnsi="Arial" w:cs="Arial"/>
                <w:sz w:val="16"/>
                <w:szCs w:val="16"/>
              </w:rPr>
            </w:pPr>
          </w:p>
          <w:p w14:paraId="1B70CF14" w14:textId="44CD607A" w:rsidR="00D62F62" w:rsidRPr="00C5003A" w:rsidRDefault="00927D10" w:rsidP="003C7263">
            <w:pPr>
              <w:jc w:val="center"/>
              <w:rPr>
                <w:rFonts w:ascii="Arial" w:hAnsi="Arial" w:cs="Arial"/>
                <w:sz w:val="16"/>
                <w:szCs w:val="16"/>
              </w:rPr>
            </w:pPr>
            <w:r>
              <w:rPr>
                <w:rFonts w:ascii="Arial" w:hAnsi="Arial" w:cs="Arial"/>
                <w:sz w:val="16"/>
                <w:szCs w:val="16"/>
              </w:rPr>
              <w:t>Liliana Sofía Navas Pined</w:t>
            </w:r>
            <w:bookmarkStart w:id="0" w:name="_GoBack"/>
            <w:bookmarkEnd w:id="0"/>
            <w:r>
              <w:rPr>
                <w:rFonts w:ascii="Arial" w:hAnsi="Arial" w:cs="Arial"/>
                <w:sz w:val="16"/>
                <w:szCs w:val="16"/>
              </w:rPr>
              <w:t>a</w:t>
            </w:r>
          </w:p>
        </w:tc>
        <w:tc>
          <w:tcPr>
            <w:tcW w:w="2410" w:type="dxa"/>
            <w:vAlign w:val="center"/>
          </w:tcPr>
          <w:p w14:paraId="51C4EE6F" w14:textId="5974D1BB" w:rsidR="00D62F62" w:rsidRPr="00C5003A" w:rsidRDefault="00287BEA" w:rsidP="003C7263">
            <w:pPr>
              <w:jc w:val="center"/>
              <w:rPr>
                <w:rFonts w:ascii="Arial" w:hAnsi="Arial" w:cs="Arial"/>
                <w:sz w:val="16"/>
                <w:szCs w:val="16"/>
              </w:rPr>
            </w:pPr>
            <w:r>
              <w:rPr>
                <w:rFonts w:ascii="Arial" w:hAnsi="Arial" w:cs="Arial"/>
                <w:sz w:val="16"/>
                <w:szCs w:val="16"/>
              </w:rPr>
              <w:t>Doris Bibiana Cardozo Peña</w:t>
            </w:r>
          </w:p>
        </w:tc>
      </w:tr>
      <w:tr w:rsidR="0079125C" w:rsidRPr="00067870" w14:paraId="7D5EF607" w14:textId="77777777" w:rsidTr="003C7263">
        <w:trPr>
          <w:trHeight w:val="1374"/>
          <w:jc w:val="right"/>
        </w:trPr>
        <w:tc>
          <w:tcPr>
            <w:tcW w:w="821" w:type="dxa"/>
            <w:vAlign w:val="center"/>
          </w:tcPr>
          <w:p w14:paraId="04271C3B" w14:textId="77777777" w:rsidR="00F3218E" w:rsidRDefault="000F67BD" w:rsidP="00586EA9">
            <w:pPr>
              <w:jc w:val="both"/>
              <w:rPr>
                <w:rFonts w:ascii="Arial" w:hAnsi="Arial" w:cs="Arial"/>
                <w:b/>
                <w:bCs/>
                <w:sz w:val="16"/>
                <w:szCs w:val="16"/>
              </w:rPr>
            </w:pPr>
            <w:r w:rsidRPr="00726CE6">
              <w:rPr>
                <w:rFonts w:ascii="Arial" w:hAnsi="Arial" w:cs="Arial"/>
                <w:b/>
                <w:bCs/>
                <w:sz w:val="16"/>
                <w:szCs w:val="16"/>
              </w:rPr>
              <w:t>Cargo/</w:t>
            </w:r>
          </w:p>
          <w:p w14:paraId="7DB4305E" w14:textId="20D41B46" w:rsidR="0079125C" w:rsidRPr="00C0601E" w:rsidRDefault="000F67BD" w:rsidP="00586EA9">
            <w:pPr>
              <w:jc w:val="both"/>
              <w:rPr>
                <w:rFonts w:ascii="Arial" w:hAnsi="Arial" w:cs="Arial"/>
                <w:b/>
                <w:bCs/>
                <w:sz w:val="16"/>
                <w:szCs w:val="16"/>
              </w:rPr>
            </w:pPr>
            <w:r w:rsidRPr="00726CE6">
              <w:rPr>
                <w:rFonts w:ascii="Arial" w:hAnsi="Arial" w:cs="Arial"/>
                <w:b/>
                <w:bCs/>
                <w:sz w:val="16"/>
                <w:szCs w:val="16"/>
              </w:rPr>
              <w:t>Rol</w:t>
            </w:r>
          </w:p>
        </w:tc>
        <w:tc>
          <w:tcPr>
            <w:tcW w:w="2865" w:type="dxa"/>
            <w:vAlign w:val="center"/>
          </w:tcPr>
          <w:p w14:paraId="04B07FD6" w14:textId="4945C8C4" w:rsidR="00C5003A" w:rsidRPr="00067870" w:rsidRDefault="000F67BD" w:rsidP="00927D10">
            <w:pPr>
              <w:jc w:val="center"/>
              <w:rPr>
                <w:rFonts w:ascii="Arial" w:hAnsi="Arial" w:cs="Arial"/>
                <w:sz w:val="16"/>
                <w:szCs w:val="16"/>
              </w:rPr>
            </w:pPr>
            <w:r w:rsidRPr="00067870">
              <w:rPr>
                <w:rFonts w:ascii="Arial" w:hAnsi="Arial" w:cs="Arial"/>
                <w:sz w:val="16"/>
                <w:szCs w:val="16"/>
              </w:rPr>
              <w:t>Contratistas Subdirección de Diseño Evaluación y Sistematización</w:t>
            </w:r>
          </w:p>
        </w:tc>
        <w:tc>
          <w:tcPr>
            <w:tcW w:w="3118" w:type="dxa"/>
            <w:vAlign w:val="center"/>
          </w:tcPr>
          <w:p w14:paraId="38A64A37" w14:textId="77777777" w:rsidR="00F55940" w:rsidRDefault="00927D10" w:rsidP="000F6CB3">
            <w:pPr>
              <w:jc w:val="center"/>
              <w:rPr>
                <w:rFonts w:ascii="Arial" w:hAnsi="Arial" w:cs="Arial"/>
                <w:sz w:val="16"/>
                <w:szCs w:val="16"/>
              </w:rPr>
            </w:pPr>
            <w:r w:rsidRPr="00067870">
              <w:rPr>
                <w:rFonts w:ascii="Arial" w:hAnsi="Arial" w:cs="Arial"/>
                <w:sz w:val="16"/>
                <w:szCs w:val="16"/>
              </w:rPr>
              <w:t>Contratista Subdirección de Diseño Evaluación y Sistematización</w:t>
            </w:r>
          </w:p>
          <w:p w14:paraId="490E4DE6" w14:textId="77777777" w:rsidR="00F55940" w:rsidRDefault="00F55940" w:rsidP="000F6CB3">
            <w:pPr>
              <w:jc w:val="center"/>
              <w:rPr>
                <w:rFonts w:ascii="Arial" w:hAnsi="Arial" w:cs="Arial"/>
                <w:sz w:val="16"/>
                <w:szCs w:val="16"/>
              </w:rPr>
            </w:pPr>
          </w:p>
          <w:p w14:paraId="22171A14" w14:textId="325BA1EF" w:rsidR="00F55940" w:rsidRPr="00C5003A" w:rsidRDefault="000F6CB3" w:rsidP="000F6CB3">
            <w:pPr>
              <w:jc w:val="center"/>
              <w:rPr>
                <w:rFonts w:ascii="Arial" w:hAnsi="Arial" w:cs="Arial"/>
                <w:sz w:val="16"/>
                <w:szCs w:val="16"/>
              </w:rPr>
            </w:pPr>
            <w:r w:rsidRPr="00762A8C">
              <w:rPr>
                <w:rFonts w:ascii="Arial" w:hAnsi="Arial" w:cs="Arial"/>
                <w:sz w:val="16"/>
                <w:szCs w:val="18"/>
              </w:rPr>
              <w:t>Contratista Subdirección de Diseño, Evaluación y Sistematización – Gestora SIG proceso Planeación Estratégica</w:t>
            </w:r>
          </w:p>
        </w:tc>
        <w:tc>
          <w:tcPr>
            <w:tcW w:w="2410" w:type="dxa"/>
            <w:vAlign w:val="center"/>
          </w:tcPr>
          <w:p w14:paraId="4268710B" w14:textId="25FAB0EE" w:rsidR="00287BEA" w:rsidRPr="00C5003A" w:rsidRDefault="00287BEA" w:rsidP="00927D10">
            <w:pPr>
              <w:jc w:val="center"/>
              <w:rPr>
                <w:rFonts w:ascii="Arial" w:hAnsi="Arial" w:cs="Arial"/>
                <w:sz w:val="16"/>
                <w:szCs w:val="16"/>
              </w:rPr>
            </w:pPr>
            <w:r w:rsidRPr="00C5003A">
              <w:rPr>
                <w:rFonts w:ascii="Arial" w:hAnsi="Arial" w:cs="Arial"/>
                <w:sz w:val="16"/>
                <w:szCs w:val="16"/>
              </w:rPr>
              <w:t>Subdirector</w:t>
            </w:r>
            <w:r>
              <w:rPr>
                <w:rFonts w:ascii="Arial" w:hAnsi="Arial" w:cs="Arial"/>
                <w:sz w:val="16"/>
                <w:szCs w:val="16"/>
              </w:rPr>
              <w:t>a</w:t>
            </w:r>
            <w:r w:rsidRPr="00C5003A">
              <w:rPr>
                <w:rFonts w:ascii="Arial" w:hAnsi="Arial" w:cs="Arial"/>
                <w:sz w:val="16"/>
                <w:szCs w:val="16"/>
              </w:rPr>
              <w:t xml:space="preserve"> de Diseño, Evaluación y Sistematización</w:t>
            </w:r>
          </w:p>
          <w:p w14:paraId="6B5029C2" w14:textId="4113D8CD" w:rsidR="0079125C" w:rsidRPr="00C5003A" w:rsidRDefault="0079125C" w:rsidP="00927D10">
            <w:pPr>
              <w:jc w:val="center"/>
              <w:rPr>
                <w:rFonts w:ascii="Arial" w:hAnsi="Arial" w:cs="Arial"/>
                <w:color w:val="1F4E79" w:themeColor="accent1" w:themeShade="80"/>
                <w:sz w:val="16"/>
                <w:szCs w:val="16"/>
              </w:rPr>
            </w:pPr>
          </w:p>
        </w:tc>
      </w:tr>
    </w:tbl>
    <w:p w14:paraId="4AF16226" w14:textId="77777777" w:rsidR="00F9308D" w:rsidRDefault="00F9308D" w:rsidP="004803C6">
      <w:pPr>
        <w:rPr>
          <w:rFonts w:ascii="Arial" w:hAnsi="Arial" w:cs="Arial"/>
        </w:rPr>
      </w:pPr>
    </w:p>
    <w:sectPr w:rsidR="00F9308D" w:rsidSect="003C7263">
      <w:headerReference w:type="default" r:id="rId13"/>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1A86B" w14:textId="77777777" w:rsidR="00322DC6" w:rsidRDefault="00322DC6" w:rsidP="00B41D48">
      <w:pPr>
        <w:spacing w:after="0" w:line="240" w:lineRule="auto"/>
      </w:pPr>
      <w:r>
        <w:separator/>
      </w:r>
    </w:p>
  </w:endnote>
  <w:endnote w:type="continuationSeparator" w:id="0">
    <w:p w14:paraId="012351B8" w14:textId="77777777" w:rsidR="00322DC6" w:rsidRDefault="00322DC6"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96438" w14:textId="77777777" w:rsidR="00322DC6" w:rsidRDefault="00322DC6" w:rsidP="00B41D48">
      <w:pPr>
        <w:spacing w:after="0" w:line="240" w:lineRule="auto"/>
      </w:pPr>
      <w:r>
        <w:separator/>
      </w:r>
    </w:p>
  </w:footnote>
  <w:footnote w:type="continuationSeparator" w:id="0">
    <w:p w14:paraId="65D994D7" w14:textId="77777777" w:rsidR="00322DC6" w:rsidRDefault="00322DC6" w:rsidP="00B41D48">
      <w:pPr>
        <w:spacing w:after="0" w:line="240" w:lineRule="auto"/>
      </w:pPr>
      <w:r>
        <w:continuationSeparator/>
      </w:r>
    </w:p>
  </w:footnote>
  <w:footnote w:id="1">
    <w:p w14:paraId="17F9AC49" w14:textId="77777777" w:rsidR="00430DD7" w:rsidRPr="000F3003" w:rsidRDefault="00430DD7" w:rsidP="00430DD7">
      <w:pPr>
        <w:pStyle w:val="Textonotapie"/>
        <w:rPr>
          <w:rFonts w:ascii="Arial" w:hAnsi="Arial" w:cs="Arial"/>
          <w:sz w:val="16"/>
          <w:szCs w:val="16"/>
        </w:rPr>
      </w:pPr>
      <w:r w:rsidRPr="000F3003">
        <w:rPr>
          <w:rStyle w:val="Refdenotaalpie"/>
          <w:rFonts w:ascii="Arial" w:hAnsi="Arial" w:cs="Arial"/>
          <w:sz w:val="16"/>
          <w:szCs w:val="16"/>
        </w:rPr>
        <w:footnoteRef/>
      </w:r>
      <w:r w:rsidRPr="000F3003">
        <w:rPr>
          <w:rFonts w:ascii="Arial" w:hAnsi="Arial" w:cs="Arial"/>
          <w:sz w:val="16"/>
          <w:szCs w:val="16"/>
        </w:rPr>
        <w:t xml:space="preserve"> Fuente: SDIS, Procedimiento Solicitud de contratación PCD-AD-SC-115 del Proceso Adquisiciones.</w:t>
      </w:r>
    </w:p>
  </w:footnote>
  <w:footnote w:id="2">
    <w:p w14:paraId="23D3B6CF" w14:textId="1D2C7975" w:rsidR="00512F17" w:rsidRPr="00586EA9" w:rsidRDefault="00512F17">
      <w:pPr>
        <w:pStyle w:val="Textonotapie"/>
        <w:rPr>
          <w:rFonts w:ascii="Arial" w:hAnsi="Arial" w:cs="Arial"/>
          <w:sz w:val="16"/>
          <w:szCs w:val="16"/>
          <w:lang w:val="es-MX"/>
        </w:rPr>
      </w:pPr>
      <w:r w:rsidRPr="00586EA9">
        <w:rPr>
          <w:rStyle w:val="Refdenotaalpie"/>
          <w:rFonts w:ascii="Arial" w:hAnsi="Arial" w:cs="Arial"/>
          <w:sz w:val="16"/>
          <w:szCs w:val="16"/>
        </w:rPr>
        <w:footnoteRef/>
      </w:r>
      <w:r w:rsidRPr="00586EA9">
        <w:rPr>
          <w:rFonts w:ascii="Arial" w:hAnsi="Arial" w:cs="Arial"/>
          <w:sz w:val="16"/>
          <w:szCs w:val="16"/>
        </w:rPr>
        <w:t xml:space="preserve"> Procedimiento </w:t>
      </w:r>
      <w:r w:rsidR="006E108A">
        <w:rPr>
          <w:rFonts w:ascii="Arial" w:hAnsi="Arial" w:cs="Arial"/>
          <w:sz w:val="16"/>
          <w:szCs w:val="16"/>
        </w:rPr>
        <w:t>“F</w:t>
      </w:r>
      <w:r w:rsidRPr="00586EA9">
        <w:rPr>
          <w:rFonts w:ascii="Arial" w:hAnsi="Arial" w:cs="Arial"/>
          <w:sz w:val="16"/>
          <w:szCs w:val="16"/>
        </w:rPr>
        <w:t>ormulación, implementación y verificación de estándares</w:t>
      </w:r>
      <w:r w:rsidR="006E108A">
        <w:rPr>
          <w:rFonts w:ascii="Arial" w:hAnsi="Arial" w:cs="Arial"/>
          <w:sz w:val="16"/>
          <w:szCs w:val="16"/>
        </w:rPr>
        <w:t>”</w:t>
      </w:r>
      <w:r w:rsidRPr="00586EA9">
        <w:rPr>
          <w:rFonts w:ascii="Arial" w:hAnsi="Arial" w:cs="Arial"/>
          <w:sz w:val="16"/>
          <w:szCs w:val="16"/>
        </w:rPr>
        <w:t xml:space="preserve"> (</w:t>
      </w:r>
      <w:r w:rsidR="006D4BBC" w:rsidRPr="006D4BBC">
        <w:rPr>
          <w:rFonts w:ascii="Arial" w:hAnsi="Arial" w:cs="Arial"/>
          <w:sz w:val="16"/>
          <w:szCs w:val="16"/>
        </w:rPr>
        <w:t>PCD-DIS-001</w:t>
      </w:r>
      <w:r w:rsidRPr="00586EA9">
        <w:rPr>
          <w:rFonts w:ascii="Arial" w:hAnsi="Arial" w:cs="Arial"/>
          <w:sz w:val="16"/>
          <w:szCs w:val="16"/>
        </w:rPr>
        <w:t>), versión 201</w:t>
      </w:r>
      <w:r w:rsidR="006D4BBC">
        <w:rPr>
          <w:rFonts w:ascii="Arial" w:hAnsi="Arial" w:cs="Arial"/>
          <w:sz w:val="16"/>
          <w:szCs w:val="16"/>
        </w:rPr>
        <w:t>9</w:t>
      </w:r>
      <w:r w:rsidRPr="00586EA9">
        <w:rPr>
          <w:rFonts w:ascii="Arial" w:hAnsi="Arial" w:cs="Arial"/>
          <w:sz w:val="16"/>
          <w:szCs w:val="16"/>
        </w:rPr>
        <w:t>.</w:t>
      </w:r>
    </w:p>
  </w:footnote>
  <w:footnote w:id="3">
    <w:p w14:paraId="6F827725" w14:textId="2850F96F" w:rsidR="00D15759" w:rsidRPr="00586EA9" w:rsidRDefault="00D15759">
      <w:pPr>
        <w:pStyle w:val="Textonotapie"/>
        <w:rPr>
          <w:rFonts w:ascii="Arial" w:hAnsi="Arial" w:cs="Arial"/>
          <w:sz w:val="16"/>
          <w:szCs w:val="16"/>
        </w:rPr>
      </w:pPr>
      <w:r w:rsidRPr="00586EA9">
        <w:rPr>
          <w:rStyle w:val="Refdenotaalpie"/>
          <w:rFonts w:ascii="Arial" w:hAnsi="Arial" w:cs="Arial"/>
          <w:sz w:val="16"/>
          <w:szCs w:val="16"/>
        </w:rPr>
        <w:footnoteRef/>
      </w:r>
      <w:r w:rsidR="00586EA9">
        <w:rPr>
          <w:rFonts w:ascii="Arial" w:hAnsi="Arial" w:cs="Arial"/>
          <w:sz w:val="16"/>
          <w:szCs w:val="16"/>
        </w:rPr>
        <w:t xml:space="preserve"> </w:t>
      </w:r>
      <w:r w:rsidRPr="00586EA9">
        <w:rPr>
          <w:rFonts w:ascii="Arial" w:hAnsi="Arial" w:cs="Arial"/>
          <w:sz w:val="16"/>
          <w:szCs w:val="16"/>
        </w:rPr>
        <w:t>Guía para la Elaboración de Estudios de Sector, Colombia compra Eficiente - Versión: G-EES-02</w:t>
      </w:r>
    </w:p>
  </w:footnote>
  <w:footnote w:id="4">
    <w:p w14:paraId="7B21B794" w14:textId="77777777" w:rsidR="00D15759" w:rsidRPr="00CE73D8" w:rsidRDefault="00D15759" w:rsidP="003D5CD7">
      <w:pPr>
        <w:pStyle w:val="Textonotapie"/>
        <w:rPr>
          <w:rFonts w:ascii="Arial" w:hAnsi="Arial" w:cs="Arial"/>
          <w:sz w:val="16"/>
          <w:szCs w:val="16"/>
        </w:rPr>
      </w:pPr>
      <w:r w:rsidRPr="00586EA9">
        <w:rPr>
          <w:rStyle w:val="Refdenotaalpie"/>
          <w:rFonts w:ascii="Arial" w:hAnsi="Arial" w:cs="Arial"/>
          <w:sz w:val="16"/>
          <w:szCs w:val="16"/>
        </w:rPr>
        <w:footnoteRef/>
      </w:r>
      <w:r w:rsidRPr="00586EA9">
        <w:rPr>
          <w:rFonts w:ascii="Arial" w:hAnsi="Arial" w:cs="Arial"/>
          <w:sz w:val="16"/>
          <w:szCs w:val="16"/>
        </w:rPr>
        <w:t xml:space="preserve"> Concepto 80112- EE54389 de septiembre 4 de 2008. Oficina Jurídica, Contraloría General de la República.</w:t>
      </w:r>
    </w:p>
  </w:footnote>
  <w:footnote w:id="5">
    <w:p w14:paraId="578CB3C2" w14:textId="77777777" w:rsidR="00D15759" w:rsidRPr="00586EA9" w:rsidRDefault="00D15759" w:rsidP="00586EA9">
      <w:pPr>
        <w:pStyle w:val="Textonotapie"/>
        <w:jc w:val="both"/>
        <w:rPr>
          <w:rFonts w:ascii="Arial" w:hAnsi="Arial" w:cs="Arial"/>
          <w:sz w:val="16"/>
          <w:szCs w:val="16"/>
        </w:rPr>
      </w:pPr>
      <w:r w:rsidRPr="00586EA9">
        <w:rPr>
          <w:rStyle w:val="Refdenotaalpie"/>
          <w:rFonts w:ascii="Arial" w:hAnsi="Arial" w:cs="Arial"/>
          <w:sz w:val="16"/>
          <w:szCs w:val="16"/>
        </w:rPr>
        <w:footnoteRef/>
      </w:r>
      <w:r w:rsidRPr="00586EA9">
        <w:rPr>
          <w:rFonts w:ascii="Arial" w:hAnsi="Arial" w:cs="Arial"/>
          <w:sz w:val="16"/>
          <w:szCs w:val="16"/>
        </w:rPr>
        <w:t xml:space="preserve"> Fuente: Resolución 1025 del 08 de Julio de 2016.</w:t>
      </w:r>
    </w:p>
  </w:footnote>
  <w:footnote w:id="6">
    <w:p w14:paraId="6A58DA3D" w14:textId="77777777" w:rsidR="009B4F7F" w:rsidRDefault="009B4F7F" w:rsidP="009B4F7F">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Disponible en la página web: http://metadatos.ideca.gov.co/geoportal/catalog/search/resource/details.page?uuid=%7B3F0B3E90-DDD0-4B15-A274-7238C5EE041D%7D</w:t>
      </w:r>
    </w:p>
  </w:footnote>
  <w:footnote w:id="7">
    <w:p w14:paraId="4AEB7E81" w14:textId="77777777" w:rsidR="00D15759" w:rsidRPr="00586EA9" w:rsidRDefault="00D15759" w:rsidP="00586EA9">
      <w:pPr>
        <w:pStyle w:val="Textonotapie"/>
        <w:jc w:val="both"/>
        <w:rPr>
          <w:rFonts w:ascii="Arial" w:hAnsi="Arial" w:cs="Arial"/>
          <w:sz w:val="16"/>
          <w:szCs w:val="16"/>
        </w:rPr>
      </w:pPr>
      <w:r w:rsidRPr="004B5693">
        <w:rPr>
          <w:rStyle w:val="Refdenotaalpie"/>
        </w:rPr>
        <w:footnoteRef/>
      </w:r>
      <w:r w:rsidRPr="004B5693">
        <w:rPr>
          <w:rStyle w:val="Refdenotaalpie"/>
        </w:rPr>
        <w:t xml:space="preserve"> </w:t>
      </w:r>
      <w:r w:rsidRPr="00586EA9">
        <w:rPr>
          <w:rFonts w:ascii="Arial" w:hAnsi="Arial" w:cs="Arial"/>
          <w:sz w:val="16"/>
          <w:szCs w:val="16"/>
        </w:rPr>
        <w:t>Fuente: DABS- CEAD. Gestión Pública y Administración Distrital, 2002 citado en SDIS, Procedimiento de formulación de proyectos de inversión PCD- SG-FP-536 del proceso de direccionamiento estratégico, 2011.</w:t>
      </w:r>
    </w:p>
  </w:footnote>
  <w:footnote w:id="8">
    <w:p w14:paraId="6EC3619C" w14:textId="505C3B14" w:rsidR="003A7267" w:rsidRPr="003A7267" w:rsidRDefault="003A7267" w:rsidP="00586EA9">
      <w:pPr>
        <w:pStyle w:val="Textonotapie"/>
        <w:jc w:val="both"/>
        <w:rPr>
          <w:lang w:val="es-ES"/>
        </w:rPr>
      </w:pPr>
      <w:r w:rsidRPr="00586EA9">
        <w:rPr>
          <w:rStyle w:val="Refdenotaalpie"/>
          <w:rFonts w:ascii="Arial" w:hAnsi="Arial" w:cs="Arial"/>
          <w:sz w:val="16"/>
          <w:szCs w:val="16"/>
        </w:rPr>
        <w:footnoteRef/>
      </w:r>
      <w:r w:rsidR="00586EA9">
        <w:rPr>
          <w:rFonts w:ascii="Arial" w:hAnsi="Arial" w:cs="Arial"/>
          <w:sz w:val="16"/>
          <w:szCs w:val="16"/>
        </w:rPr>
        <w:t xml:space="preserve"> </w:t>
      </w:r>
      <w:r w:rsidRPr="00586EA9">
        <w:rPr>
          <w:rFonts w:ascii="Arial" w:hAnsi="Arial" w:cs="Arial"/>
          <w:sz w:val="16"/>
          <w:szCs w:val="16"/>
        </w:rPr>
        <w:t>Fuente:</w:t>
      </w:r>
      <w:r w:rsidR="00586EA9">
        <w:rPr>
          <w:rFonts w:ascii="Arial" w:hAnsi="Arial" w:cs="Arial"/>
          <w:sz w:val="16"/>
          <w:szCs w:val="16"/>
        </w:rPr>
        <w:t xml:space="preserve"> </w:t>
      </w:r>
      <w:r w:rsidRPr="00586EA9">
        <w:rPr>
          <w:rFonts w:ascii="Arial" w:hAnsi="Arial" w:cs="Arial"/>
          <w:color w:val="000000"/>
          <w:sz w:val="16"/>
          <w:szCs w:val="16"/>
          <w:shd w:val="clear" w:color="auto" w:fill="FFFFFF"/>
        </w:rPr>
        <w:t>Glosario Secretaría Distrital de Planeación.</w:t>
      </w:r>
    </w:p>
  </w:footnote>
  <w:footnote w:id="9">
    <w:p w14:paraId="588496D4" w14:textId="77777777" w:rsidR="00D15759" w:rsidRPr="00072852" w:rsidRDefault="00D15759" w:rsidP="005F2516">
      <w:pPr>
        <w:pStyle w:val="Textonotapie"/>
        <w:jc w:val="both"/>
        <w:rPr>
          <w:rFonts w:ascii="Arial" w:hAnsi="Arial" w:cs="Arial"/>
          <w:sz w:val="16"/>
          <w:szCs w:val="16"/>
        </w:rPr>
      </w:pPr>
      <w:r w:rsidRPr="00072852">
        <w:rPr>
          <w:rStyle w:val="Refdenotaalpie"/>
          <w:rFonts w:ascii="Arial" w:hAnsi="Arial" w:cs="Arial"/>
          <w:sz w:val="16"/>
          <w:szCs w:val="16"/>
        </w:rPr>
        <w:footnoteRef/>
      </w:r>
      <w:r w:rsidRPr="00072852">
        <w:rPr>
          <w:rFonts w:ascii="Arial" w:hAnsi="Arial" w:cs="Arial"/>
          <w:sz w:val="16"/>
          <w:szCs w:val="16"/>
        </w:rPr>
        <w:t xml:space="preserve"> Fuente: Criterios de identificación, priorización, restricciones por simultaneidad y egreso, para el acceso a los servicios sociales vigente.</w:t>
      </w:r>
    </w:p>
  </w:footnote>
  <w:footnote w:id="10">
    <w:p w14:paraId="08DE0423" w14:textId="4B7D7C7E" w:rsidR="00D97465" w:rsidRPr="00D97465" w:rsidRDefault="00D97465">
      <w:pPr>
        <w:pStyle w:val="Textonotapie"/>
        <w:rPr>
          <w:rFonts w:ascii="Arial" w:hAnsi="Arial" w:cs="Arial"/>
          <w:sz w:val="16"/>
          <w:szCs w:val="16"/>
        </w:rPr>
      </w:pPr>
      <w:r>
        <w:rPr>
          <w:rStyle w:val="Refdenotaalpie"/>
        </w:rPr>
        <w:footnoteRef/>
      </w:r>
      <w:r>
        <w:t xml:space="preserve"> </w:t>
      </w:r>
      <w:r w:rsidRPr="00D97465">
        <w:rPr>
          <w:rFonts w:ascii="Arial" w:hAnsi="Arial" w:cs="Arial"/>
          <w:sz w:val="16"/>
          <w:szCs w:val="16"/>
        </w:rPr>
        <w:t>Secretaría de Integración Social. Portafolio de Servicios. Memo I2019018058 – 21/03/2019</w:t>
      </w:r>
    </w:p>
  </w:footnote>
  <w:footnote w:id="11">
    <w:p w14:paraId="03FC47CF" w14:textId="5E6E477A" w:rsidR="00D15759" w:rsidRPr="00C0601E" w:rsidRDefault="00D15759">
      <w:pPr>
        <w:pStyle w:val="Textonotapie"/>
        <w:jc w:val="both"/>
        <w:rPr>
          <w:rFonts w:ascii="Arial" w:hAnsi="Arial" w:cs="Arial"/>
          <w:sz w:val="16"/>
          <w:szCs w:val="16"/>
        </w:rPr>
      </w:pPr>
      <w:r w:rsidRPr="00726CE6">
        <w:rPr>
          <w:rStyle w:val="Refdenotaalpie"/>
          <w:rFonts w:ascii="Arial" w:hAnsi="Arial" w:cs="Arial"/>
          <w:sz w:val="16"/>
          <w:szCs w:val="16"/>
        </w:rPr>
        <w:footnoteRef/>
      </w:r>
      <w:r w:rsidRPr="00EF702C">
        <w:rPr>
          <w:rFonts w:ascii="Arial" w:hAnsi="Arial" w:cs="Arial"/>
          <w:sz w:val="16"/>
          <w:szCs w:val="16"/>
        </w:rPr>
        <w:t xml:space="preserve">El equipo técnico-administrativo debe </w:t>
      </w:r>
      <w:r w:rsidR="00B9273B" w:rsidRPr="00EF702C">
        <w:rPr>
          <w:rFonts w:ascii="Arial" w:hAnsi="Arial" w:cs="Arial"/>
          <w:sz w:val="16"/>
          <w:szCs w:val="16"/>
        </w:rPr>
        <w:t>identificar fechas</w:t>
      </w:r>
      <w:r w:rsidRPr="00EF702C">
        <w:rPr>
          <w:rFonts w:ascii="Arial" w:hAnsi="Arial" w:cs="Arial"/>
          <w:sz w:val="16"/>
          <w:szCs w:val="16"/>
        </w:rPr>
        <w:t xml:space="preserve"> de término de los procesos y trabajar con anterioridad todo lo relacion</w:t>
      </w:r>
      <w:r w:rsidR="00927FF9">
        <w:rPr>
          <w:rFonts w:ascii="Arial" w:hAnsi="Arial" w:cs="Arial"/>
          <w:sz w:val="16"/>
          <w:szCs w:val="16"/>
        </w:rPr>
        <w:t xml:space="preserve">ado al proceso de viabilidad </w:t>
      </w:r>
      <w:r w:rsidRPr="00EF702C">
        <w:rPr>
          <w:rFonts w:ascii="Arial" w:hAnsi="Arial" w:cs="Arial"/>
          <w:sz w:val="16"/>
          <w:szCs w:val="16"/>
        </w:rPr>
        <w:t>para contar con el tiempo de análisis por parte de la Subdirección de Diseño, Evaluación y Sistematización, y el cubrimiento de observaciones por parte del equipo técnico-administrativo.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565"/>
      <w:gridCol w:w="2523"/>
    </w:tblGrid>
    <w:tr w:rsidR="00D15759" w:rsidRPr="000979F8" w14:paraId="0A053683" w14:textId="77777777" w:rsidTr="003C7263">
      <w:trPr>
        <w:cantSplit/>
        <w:trHeight w:val="437"/>
      </w:trPr>
      <w:tc>
        <w:tcPr>
          <w:tcW w:w="2376" w:type="dxa"/>
          <w:vMerge w:val="restart"/>
          <w:tcBorders>
            <w:right w:val="single" w:sz="4" w:space="0" w:color="auto"/>
          </w:tcBorders>
          <w:vAlign w:val="center"/>
        </w:tcPr>
        <w:p w14:paraId="63E5997A" w14:textId="77777777" w:rsidR="00D15759" w:rsidRPr="000979F8" w:rsidRDefault="00D15759" w:rsidP="003C7263">
          <w:pPr>
            <w:pStyle w:val="Encabezado"/>
            <w:jc w:val="center"/>
            <w:rPr>
              <w:rFonts w:ascii="Arial" w:hAnsi="Arial" w:cs="Arial"/>
            </w:rPr>
          </w:pPr>
          <w:r w:rsidRPr="000979F8">
            <w:rPr>
              <w:rFonts w:ascii="Arial" w:hAnsi="Arial" w:cs="Arial"/>
              <w:noProof/>
              <w:lang w:eastAsia="es-CO"/>
            </w:rPr>
            <w:drawing>
              <wp:inline distT="0" distB="0" distL="0" distR="0" wp14:anchorId="66F30679" wp14:editId="144C339D">
                <wp:extent cx="1302348" cy="742950"/>
                <wp:effectExtent l="0" t="0" r="0" b="0"/>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475" cy="744734"/>
                        </a:xfrm>
                        <a:prstGeom prst="rect">
                          <a:avLst/>
                        </a:prstGeom>
                        <a:noFill/>
                        <a:ln>
                          <a:noFill/>
                        </a:ln>
                      </pic:spPr>
                    </pic:pic>
                  </a:graphicData>
                </a:graphic>
              </wp:inline>
            </w:drawing>
          </w:r>
        </w:p>
      </w:tc>
      <w:tc>
        <w:tcPr>
          <w:tcW w:w="4565" w:type="dxa"/>
          <w:vMerge w:val="restart"/>
          <w:tcBorders>
            <w:left w:val="single" w:sz="4" w:space="0" w:color="auto"/>
          </w:tcBorders>
          <w:vAlign w:val="center"/>
        </w:tcPr>
        <w:p w14:paraId="7A3DBD73" w14:textId="1FCB278F" w:rsidR="00D15759" w:rsidRPr="0018277A" w:rsidRDefault="00876AA5" w:rsidP="003C7263">
          <w:pPr>
            <w:pStyle w:val="Encabezado"/>
            <w:jc w:val="center"/>
            <w:rPr>
              <w:rFonts w:ascii="Arial" w:hAnsi="Arial" w:cs="Arial"/>
              <w:bCs/>
              <w:szCs w:val="18"/>
              <w:lang w:val="es-ES"/>
            </w:rPr>
          </w:pPr>
          <w:r w:rsidRPr="000E1C33">
            <w:rPr>
              <w:rFonts w:ascii="Arial" w:hAnsi="Arial" w:cs="Arial"/>
              <w:sz w:val="18"/>
              <w:szCs w:val="18"/>
            </w:rPr>
            <w:fldChar w:fldCharType="begin"/>
          </w:r>
          <w:r w:rsidR="00D15759" w:rsidRPr="000E1C33">
            <w:rPr>
              <w:rFonts w:ascii="Arial" w:hAnsi="Arial" w:cs="Arial"/>
              <w:sz w:val="18"/>
              <w:szCs w:val="18"/>
            </w:rPr>
            <w:instrText xml:space="preserve"> MACROBUTTON  ActDesactEscrituraManual </w:instrText>
          </w:r>
          <w:r w:rsidRPr="000E1C33">
            <w:rPr>
              <w:rFonts w:ascii="Arial" w:hAnsi="Arial" w:cs="Arial"/>
              <w:sz w:val="18"/>
              <w:szCs w:val="18"/>
            </w:rPr>
            <w:fldChar w:fldCharType="end"/>
          </w:r>
          <w:r w:rsidRPr="000E1C33">
            <w:rPr>
              <w:rFonts w:ascii="Arial" w:hAnsi="Arial" w:cs="Arial"/>
              <w:sz w:val="18"/>
              <w:szCs w:val="18"/>
            </w:rPr>
            <w:fldChar w:fldCharType="begin"/>
          </w:r>
          <w:r w:rsidR="00D15759" w:rsidRPr="000E1C33">
            <w:rPr>
              <w:rFonts w:ascii="Arial" w:hAnsi="Arial" w:cs="Arial"/>
              <w:sz w:val="18"/>
              <w:szCs w:val="18"/>
            </w:rPr>
            <w:instrText xml:space="preserve"> MACROBUTTON  InsertarCampo </w:instrText>
          </w:r>
          <w:r w:rsidRPr="000E1C33">
            <w:rPr>
              <w:rFonts w:ascii="Arial" w:hAnsi="Arial" w:cs="Arial"/>
              <w:sz w:val="18"/>
              <w:szCs w:val="18"/>
            </w:rPr>
            <w:fldChar w:fldCharType="end"/>
          </w:r>
          <w:r w:rsidR="00D15759" w:rsidRPr="0018277A">
            <w:rPr>
              <w:rFonts w:ascii="Arial" w:hAnsi="Arial" w:cs="Arial"/>
              <w:szCs w:val="18"/>
            </w:rPr>
            <w:t xml:space="preserve">PROCESO </w:t>
          </w:r>
          <w:r w:rsidR="00226028" w:rsidRPr="0018277A">
            <w:rPr>
              <w:rFonts w:ascii="Arial" w:hAnsi="Arial" w:cs="Arial"/>
              <w:szCs w:val="18"/>
            </w:rPr>
            <w:t>PLANEACIÓN ESTRATÉGICA</w:t>
          </w:r>
        </w:p>
        <w:p w14:paraId="2D99E6B4" w14:textId="77777777" w:rsidR="00D15759" w:rsidRPr="0018277A" w:rsidRDefault="00D15759" w:rsidP="003C7263">
          <w:pPr>
            <w:spacing w:after="0" w:line="240" w:lineRule="auto"/>
            <w:ind w:left="360"/>
            <w:jc w:val="center"/>
            <w:rPr>
              <w:rFonts w:ascii="Arial" w:hAnsi="Arial" w:cs="Arial"/>
              <w:bCs/>
              <w:szCs w:val="18"/>
              <w:lang w:val="es-ES_tradnl"/>
            </w:rPr>
          </w:pPr>
        </w:p>
        <w:p w14:paraId="04346009" w14:textId="5CBA2989" w:rsidR="00D15759" w:rsidRPr="0018277A" w:rsidRDefault="00D15759" w:rsidP="003C7263">
          <w:pPr>
            <w:spacing w:after="0" w:line="240" w:lineRule="auto"/>
            <w:jc w:val="center"/>
            <w:rPr>
              <w:rFonts w:ascii="Arial" w:hAnsi="Arial" w:cs="Arial"/>
              <w:bCs/>
              <w:szCs w:val="18"/>
            </w:rPr>
          </w:pPr>
          <w:r w:rsidRPr="0018277A">
            <w:rPr>
              <w:rFonts w:ascii="Arial" w:hAnsi="Arial" w:cs="Arial"/>
              <w:bCs/>
              <w:szCs w:val="18"/>
            </w:rPr>
            <w:t>PROCEDIMIENTO</w:t>
          </w:r>
          <w:r w:rsidR="005C3506" w:rsidRPr="0018277A">
            <w:rPr>
              <w:rFonts w:ascii="Arial" w:hAnsi="Arial" w:cs="Arial"/>
              <w:bCs/>
              <w:szCs w:val="18"/>
            </w:rPr>
            <w:t xml:space="preserve"> VIABILIDAD</w:t>
          </w:r>
          <w:r w:rsidRPr="0018277A">
            <w:rPr>
              <w:rFonts w:ascii="Arial" w:hAnsi="Arial" w:cs="Arial"/>
              <w:bCs/>
              <w:szCs w:val="18"/>
            </w:rPr>
            <w:t xml:space="preserve"> DE</w:t>
          </w:r>
        </w:p>
        <w:p w14:paraId="6854E82C" w14:textId="77777777" w:rsidR="00D15759" w:rsidRPr="000E1C33" w:rsidRDefault="00D15759" w:rsidP="003C7263">
          <w:pPr>
            <w:spacing w:after="0" w:line="240" w:lineRule="auto"/>
            <w:jc w:val="center"/>
            <w:rPr>
              <w:rFonts w:ascii="Arial" w:hAnsi="Arial" w:cs="Arial"/>
              <w:bCs/>
              <w:sz w:val="18"/>
              <w:szCs w:val="18"/>
            </w:rPr>
          </w:pPr>
          <w:r w:rsidRPr="0018277A">
            <w:rPr>
              <w:rFonts w:ascii="Arial" w:hAnsi="Arial" w:cs="Arial"/>
              <w:bCs/>
              <w:szCs w:val="18"/>
            </w:rPr>
            <w:t>PRECIOS DE REFERENCIA</w:t>
          </w:r>
        </w:p>
      </w:tc>
      <w:tc>
        <w:tcPr>
          <w:tcW w:w="2523" w:type="dxa"/>
          <w:tcBorders>
            <w:left w:val="single" w:sz="4" w:space="0" w:color="auto"/>
          </w:tcBorders>
          <w:vAlign w:val="center"/>
        </w:tcPr>
        <w:p w14:paraId="1C5BD4F3" w14:textId="02B0A88B" w:rsidR="00D15759" w:rsidRPr="000E1C33" w:rsidRDefault="00D15759" w:rsidP="003C7263">
          <w:pPr>
            <w:spacing w:after="0" w:line="240" w:lineRule="auto"/>
            <w:rPr>
              <w:rFonts w:ascii="Arial" w:hAnsi="Arial" w:cs="Arial"/>
              <w:sz w:val="18"/>
              <w:szCs w:val="18"/>
              <w:lang w:val="es-ES"/>
            </w:rPr>
          </w:pPr>
          <w:r w:rsidRPr="000E1C33">
            <w:rPr>
              <w:rFonts w:ascii="Arial" w:hAnsi="Arial" w:cs="Arial"/>
              <w:bCs/>
              <w:sz w:val="18"/>
              <w:szCs w:val="18"/>
            </w:rPr>
            <w:t>Código:</w:t>
          </w:r>
          <w:r w:rsidR="0010131C" w:rsidRPr="000E1C33">
            <w:rPr>
              <w:rFonts w:ascii="Arial" w:hAnsi="Arial" w:cs="Arial"/>
              <w:sz w:val="18"/>
              <w:szCs w:val="18"/>
            </w:rPr>
            <w:t xml:space="preserve"> </w:t>
          </w:r>
          <w:r w:rsidR="0010131C" w:rsidRPr="004A4E89">
            <w:rPr>
              <w:rFonts w:ascii="Arial" w:hAnsi="Arial" w:cs="Arial"/>
              <w:sz w:val="18"/>
              <w:szCs w:val="18"/>
            </w:rPr>
            <w:t>PCD-</w:t>
          </w:r>
          <w:r w:rsidR="000E1C33" w:rsidRPr="004A4E89">
            <w:rPr>
              <w:rFonts w:ascii="Arial" w:hAnsi="Arial" w:cs="Arial"/>
              <w:sz w:val="18"/>
              <w:szCs w:val="18"/>
            </w:rPr>
            <w:t>PE</w:t>
          </w:r>
          <w:r w:rsidR="0010131C" w:rsidRPr="004A4E89">
            <w:rPr>
              <w:rFonts w:ascii="Arial" w:hAnsi="Arial" w:cs="Arial"/>
              <w:sz w:val="18"/>
              <w:szCs w:val="18"/>
            </w:rPr>
            <w:t>-</w:t>
          </w:r>
          <w:r w:rsidR="0018277A" w:rsidRPr="00570A21">
            <w:rPr>
              <w:rFonts w:ascii="Arial" w:hAnsi="Arial" w:cs="Arial"/>
              <w:sz w:val="18"/>
              <w:szCs w:val="18"/>
            </w:rPr>
            <w:t>014</w:t>
          </w:r>
        </w:p>
      </w:tc>
    </w:tr>
    <w:tr w:rsidR="00D15759" w:rsidRPr="000979F8" w14:paraId="3BC28D7A" w14:textId="77777777" w:rsidTr="003C7263">
      <w:trPr>
        <w:cantSplit/>
        <w:trHeight w:val="454"/>
      </w:trPr>
      <w:tc>
        <w:tcPr>
          <w:tcW w:w="2376" w:type="dxa"/>
          <w:vMerge/>
          <w:tcBorders>
            <w:right w:val="single" w:sz="4" w:space="0" w:color="auto"/>
          </w:tcBorders>
        </w:tcPr>
        <w:p w14:paraId="0508F6F7" w14:textId="77777777" w:rsidR="00D15759" w:rsidRPr="000979F8" w:rsidRDefault="00D15759" w:rsidP="003C7263">
          <w:pPr>
            <w:pStyle w:val="Encabezado"/>
            <w:jc w:val="center"/>
            <w:rPr>
              <w:rFonts w:ascii="Arial" w:hAnsi="Arial" w:cs="Arial"/>
            </w:rPr>
          </w:pPr>
        </w:p>
      </w:tc>
      <w:tc>
        <w:tcPr>
          <w:tcW w:w="4565" w:type="dxa"/>
          <w:vMerge/>
          <w:tcBorders>
            <w:left w:val="single" w:sz="4" w:space="0" w:color="auto"/>
          </w:tcBorders>
        </w:tcPr>
        <w:p w14:paraId="43F71E1F" w14:textId="77777777" w:rsidR="00D15759" w:rsidRPr="000E1C33" w:rsidRDefault="00D15759" w:rsidP="003C7263">
          <w:pPr>
            <w:pStyle w:val="Encabezado"/>
            <w:jc w:val="center"/>
            <w:rPr>
              <w:rFonts w:ascii="Arial" w:hAnsi="Arial" w:cs="Arial"/>
              <w:sz w:val="18"/>
              <w:szCs w:val="18"/>
            </w:rPr>
          </w:pPr>
        </w:p>
      </w:tc>
      <w:tc>
        <w:tcPr>
          <w:tcW w:w="2523" w:type="dxa"/>
          <w:tcBorders>
            <w:left w:val="single" w:sz="4" w:space="0" w:color="auto"/>
          </w:tcBorders>
          <w:vAlign w:val="center"/>
        </w:tcPr>
        <w:p w14:paraId="7A4B7488" w14:textId="5F71B181" w:rsidR="00D15759" w:rsidRPr="000E1C33" w:rsidRDefault="00D15759" w:rsidP="003C7263">
          <w:pPr>
            <w:pStyle w:val="Encabezado"/>
            <w:rPr>
              <w:rFonts w:ascii="Arial" w:hAnsi="Arial" w:cs="Arial"/>
              <w:sz w:val="18"/>
              <w:szCs w:val="18"/>
            </w:rPr>
          </w:pPr>
          <w:r w:rsidRPr="000E1C33">
            <w:rPr>
              <w:rFonts w:ascii="Arial" w:hAnsi="Arial" w:cs="Arial"/>
              <w:bCs/>
              <w:sz w:val="18"/>
              <w:szCs w:val="18"/>
            </w:rPr>
            <w:t>Versión:</w:t>
          </w:r>
          <w:r w:rsidR="00512F17" w:rsidRPr="000E1C33">
            <w:rPr>
              <w:rFonts w:ascii="Arial" w:hAnsi="Arial" w:cs="Arial"/>
              <w:bCs/>
              <w:sz w:val="18"/>
              <w:szCs w:val="18"/>
            </w:rPr>
            <w:t xml:space="preserve"> </w:t>
          </w:r>
          <w:r w:rsidR="00512F17" w:rsidRPr="000E1C33">
            <w:rPr>
              <w:rFonts w:ascii="Arial" w:hAnsi="Arial" w:cs="Arial"/>
              <w:sz w:val="18"/>
              <w:szCs w:val="18"/>
            </w:rPr>
            <w:t>0</w:t>
          </w:r>
        </w:p>
      </w:tc>
    </w:tr>
    <w:tr w:rsidR="00D15759" w:rsidRPr="000979F8" w14:paraId="075D7CCE" w14:textId="77777777" w:rsidTr="003C7263">
      <w:trPr>
        <w:cantSplit/>
        <w:trHeight w:val="510"/>
      </w:trPr>
      <w:tc>
        <w:tcPr>
          <w:tcW w:w="2376" w:type="dxa"/>
          <w:vMerge/>
          <w:tcBorders>
            <w:right w:val="single" w:sz="4" w:space="0" w:color="auto"/>
          </w:tcBorders>
        </w:tcPr>
        <w:p w14:paraId="31BA55C4" w14:textId="77777777" w:rsidR="00D15759" w:rsidRPr="000979F8" w:rsidRDefault="00D15759" w:rsidP="003C7263">
          <w:pPr>
            <w:pStyle w:val="Encabezado"/>
            <w:jc w:val="center"/>
            <w:rPr>
              <w:rFonts w:ascii="Arial" w:hAnsi="Arial" w:cs="Arial"/>
            </w:rPr>
          </w:pPr>
        </w:p>
      </w:tc>
      <w:tc>
        <w:tcPr>
          <w:tcW w:w="4565" w:type="dxa"/>
          <w:vMerge/>
          <w:tcBorders>
            <w:left w:val="single" w:sz="4" w:space="0" w:color="auto"/>
          </w:tcBorders>
        </w:tcPr>
        <w:p w14:paraId="54790EE0" w14:textId="77777777" w:rsidR="00D15759" w:rsidRPr="000E1C33" w:rsidRDefault="00D15759" w:rsidP="003C7263">
          <w:pPr>
            <w:pStyle w:val="Encabezado"/>
            <w:jc w:val="center"/>
            <w:rPr>
              <w:rFonts w:ascii="Arial" w:hAnsi="Arial" w:cs="Arial"/>
              <w:sz w:val="18"/>
              <w:szCs w:val="18"/>
            </w:rPr>
          </w:pPr>
        </w:p>
      </w:tc>
      <w:tc>
        <w:tcPr>
          <w:tcW w:w="2523" w:type="dxa"/>
          <w:tcBorders>
            <w:left w:val="single" w:sz="4" w:space="0" w:color="auto"/>
          </w:tcBorders>
          <w:vAlign w:val="center"/>
        </w:tcPr>
        <w:p w14:paraId="433C9CF0" w14:textId="1D9AD837" w:rsidR="00D15759" w:rsidRPr="000E1C33" w:rsidRDefault="0018277A" w:rsidP="003C7263">
          <w:pPr>
            <w:pStyle w:val="Encabezado"/>
            <w:rPr>
              <w:rFonts w:ascii="Arial" w:hAnsi="Arial" w:cs="Arial"/>
              <w:sz w:val="18"/>
              <w:szCs w:val="18"/>
            </w:rPr>
          </w:pPr>
          <w:r>
            <w:rPr>
              <w:rFonts w:ascii="Arial" w:hAnsi="Arial" w:cs="Arial"/>
              <w:sz w:val="18"/>
              <w:szCs w:val="18"/>
            </w:rPr>
            <w:t>Fecha:</w:t>
          </w:r>
          <w:r w:rsidR="003C7263">
            <w:rPr>
              <w:rFonts w:ascii="Arial" w:hAnsi="Arial" w:cs="Arial"/>
              <w:sz w:val="18"/>
              <w:szCs w:val="18"/>
            </w:rPr>
            <w:t xml:space="preserve"> Circular No. 042 – 20/12/2019</w:t>
          </w:r>
        </w:p>
      </w:tc>
    </w:tr>
    <w:tr w:rsidR="00D15759" w:rsidRPr="000979F8" w14:paraId="7972AC4D" w14:textId="77777777" w:rsidTr="003C7263">
      <w:trPr>
        <w:cantSplit/>
        <w:trHeight w:val="435"/>
      </w:trPr>
      <w:tc>
        <w:tcPr>
          <w:tcW w:w="2376" w:type="dxa"/>
          <w:vMerge/>
          <w:tcBorders>
            <w:right w:val="single" w:sz="4" w:space="0" w:color="auto"/>
          </w:tcBorders>
        </w:tcPr>
        <w:p w14:paraId="2889A79B" w14:textId="77777777" w:rsidR="00D15759" w:rsidRPr="000979F8" w:rsidRDefault="00D15759" w:rsidP="003C7263">
          <w:pPr>
            <w:pStyle w:val="Encabezado"/>
            <w:jc w:val="center"/>
            <w:rPr>
              <w:rFonts w:ascii="Arial" w:hAnsi="Arial" w:cs="Arial"/>
            </w:rPr>
          </w:pPr>
        </w:p>
      </w:tc>
      <w:tc>
        <w:tcPr>
          <w:tcW w:w="4565" w:type="dxa"/>
          <w:vMerge/>
          <w:tcBorders>
            <w:left w:val="single" w:sz="4" w:space="0" w:color="auto"/>
            <w:bottom w:val="single" w:sz="4" w:space="0" w:color="auto"/>
          </w:tcBorders>
        </w:tcPr>
        <w:p w14:paraId="43EFA4B3" w14:textId="77777777" w:rsidR="00D15759" w:rsidRPr="000E1C33" w:rsidRDefault="00D15759" w:rsidP="003C7263">
          <w:pPr>
            <w:pStyle w:val="Encabezado"/>
            <w:jc w:val="center"/>
            <w:rPr>
              <w:rFonts w:ascii="Arial" w:hAnsi="Arial" w:cs="Arial"/>
              <w:sz w:val="18"/>
              <w:szCs w:val="18"/>
            </w:rPr>
          </w:pPr>
        </w:p>
      </w:tc>
      <w:tc>
        <w:tcPr>
          <w:tcW w:w="2523" w:type="dxa"/>
          <w:tcBorders>
            <w:left w:val="single" w:sz="4" w:space="0" w:color="auto"/>
            <w:bottom w:val="single" w:sz="4" w:space="0" w:color="auto"/>
          </w:tcBorders>
          <w:vAlign w:val="center"/>
        </w:tcPr>
        <w:p w14:paraId="5B8E3421" w14:textId="50134854" w:rsidR="00D15759" w:rsidRPr="000E1C33" w:rsidRDefault="0010131C" w:rsidP="003C7263">
          <w:pPr>
            <w:pStyle w:val="Encabezado"/>
            <w:rPr>
              <w:rFonts w:ascii="Arial" w:hAnsi="Arial" w:cs="Arial"/>
              <w:sz w:val="18"/>
              <w:szCs w:val="18"/>
            </w:rPr>
          </w:pPr>
          <w:r w:rsidRPr="000E1C33">
            <w:rPr>
              <w:rFonts w:ascii="Arial" w:hAnsi="Arial" w:cs="Arial"/>
              <w:sz w:val="18"/>
              <w:szCs w:val="18"/>
              <w:lang w:val="es-ES"/>
            </w:rPr>
            <w:t xml:space="preserve">Página: </w:t>
          </w:r>
          <w:r w:rsidRPr="000E1C33">
            <w:rPr>
              <w:rFonts w:ascii="Arial" w:hAnsi="Arial" w:cs="Arial"/>
              <w:bCs/>
              <w:sz w:val="18"/>
              <w:szCs w:val="18"/>
            </w:rPr>
            <w:fldChar w:fldCharType="begin"/>
          </w:r>
          <w:r w:rsidRPr="000E1C33">
            <w:rPr>
              <w:rFonts w:ascii="Arial" w:hAnsi="Arial" w:cs="Arial"/>
              <w:bCs/>
              <w:sz w:val="18"/>
              <w:szCs w:val="18"/>
            </w:rPr>
            <w:instrText>PAGE  \* Arabic  \* MERGEFORMAT</w:instrText>
          </w:r>
          <w:r w:rsidRPr="000E1C33">
            <w:rPr>
              <w:rFonts w:ascii="Arial" w:hAnsi="Arial" w:cs="Arial"/>
              <w:bCs/>
              <w:sz w:val="18"/>
              <w:szCs w:val="18"/>
            </w:rPr>
            <w:fldChar w:fldCharType="separate"/>
          </w:r>
          <w:r w:rsidR="00BD2CDA" w:rsidRPr="00BD2CDA">
            <w:rPr>
              <w:rFonts w:ascii="Arial" w:hAnsi="Arial" w:cs="Arial"/>
              <w:bCs/>
              <w:noProof/>
              <w:sz w:val="18"/>
              <w:szCs w:val="18"/>
              <w:lang w:val="es-ES"/>
            </w:rPr>
            <w:t>9</w:t>
          </w:r>
          <w:r w:rsidRPr="000E1C33">
            <w:rPr>
              <w:rFonts w:ascii="Arial" w:hAnsi="Arial" w:cs="Arial"/>
              <w:bCs/>
              <w:sz w:val="18"/>
              <w:szCs w:val="18"/>
            </w:rPr>
            <w:fldChar w:fldCharType="end"/>
          </w:r>
          <w:r w:rsidRPr="000E1C33">
            <w:rPr>
              <w:rFonts w:ascii="Arial" w:hAnsi="Arial" w:cs="Arial"/>
              <w:sz w:val="18"/>
              <w:szCs w:val="18"/>
              <w:lang w:val="es-ES"/>
            </w:rPr>
            <w:t xml:space="preserve"> de </w:t>
          </w:r>
          <w:r w:rsidRPr="000E1C33">
            <w:rPr>
              <w:rFonts w:ascii="Arial" w:hAnsi="Arial" w:cs="Arial"/>
              <w:bCs/>
              <w:sz w:val="18"/>
              <w:szCs w:val="18"/>
            </w:rPr>
            <w:fldChar w:fldCharType="begin"/>
          </w:r>
          <w:r w:rsidRPr="000E1C33">
            <w:rPr>
              <w:rFonts w:ascii="Arial" w:hAnsi="Arial" w:cs="Arial"/>
              <w:bCs/>
              <w:sz w:val="18"/>
              <w:szCs w:val="18"/>
            </w:rPr>
            <w:instrText>NUMPAGES  \* Arabic  \* MERGEFORMAT</w:instrText>
          </w:r>
          <w:r w:rsidRPr="000E1C33">
            <w:rPr>
              <w:rFonts w:ascii="Arial" w:hAnsi="Arial" w:cs="Arial"/>
              <w:bCs/>
              <w:sz w:val="18"/>
              <w:szCs w:val="18"/>
            </w:rPr>
            <w:fldChar w:fldCharType="separate"/>
          </w:r>
          <w:r w:rsidR="00BD2CDA" w:rsidRPr="00BD2CDA">
            <w:rPr>
              <w:rFonts w:ascii="Arial" w:hAnsi="Arial" w:cs="Arial"/>
              <w:bCs/>
              <w:noProof/>
              <w:sz w:val="18"/>
              <w:szCs w:val="18"/>
              <w:lang w:val="es-ES"/>
            </w:rPr>
            <w:t>10</w:t>
          </w:r>
          <w:r w:rsidRPr="000E1C33">
            <w:rPr>
              <w:rFonts w:ascii="Arial" w:hAnsi="Arial" w:cs="Arial"/>
              <w:bCs/>
              <w:sz w:val="18"/>
              <w:szCs w:val="18"/>
            </w:rPr>
            <w:fldChar w:fldCharType="end"/>
          </w:r>
        </w:p>
      </w:tc>
    </w:tr>
  </w:tbl>
  <w:p w14:paraId="3F490FC4" w14:textId="77777777" w:rsidR="00D15759" w:rsidRDefault="00D157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B75186"/>
    <w:multiLevelType w:val="hybridMultilevel"/>
    <w:tmpl w:val="83084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9709DA"/>
    <w:multiLevelType w:val="hybridMultilevel"/>
    <w:tmpl w:val="9C807A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4B93385"/>
    <w:multiLevelType w:val="hybridMultilevel"/>
    <w:tmpl w:val="757A4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B205005"/>
    <w:multiLevelType w:val="hybridMultilevel"/>
    <w:tmpl w:val="A7E443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DD6F08"/>
    <w:multiLevelType w:val="hybridMultilevel"/>
    <w:tmpl w:val="A470E7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A82A67"/>
    <w:multiLevelType w:val="hybridMultilevel"/>
    <w:tmpl w:val="D908C50C"/>
    <w:lvl w:ilvl="0" w:tplc="3CD4E962">
      <w:numFmt w:val="bullet"/>
      <w:lvlText w:val=""/>
      <w:lvlJc w:val="left"/>
      <w:pPr>
        <w:ind w:left="360" w:hanging="360"/>
      </w:pPr>
      <w:rPr>
        <w:rFonts w:ascii="Symbol" w:eastAsiaTheme="minorHAnsi" w:hAnsi="Symbol"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8" w15:restartNumberingAfterBreak="0">
    <w:nsid w:val="2A884F64"/>
    <w:multiLevelType w:val="multilevel"/>
    <w:tmpl w:val="F9307140"/>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9270D6"/>
    <w:multiLevelType w:val="hybridMultilevel"/>
    <w:tmpl w:val="09B24998"/>
    <w:lvl w:ilvl="0" w:tplc="24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8CE033E"/>
    <w:multiLevelType w:val="hybridMultilevel"/>
    <w:tmpl w:val="10DE5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AF2278D"/>
    <w:multiLevelType w:val="multilevel"/>
    <w:tmpl w:val="B8C6336C"/>
    <w:lvl w:ilvl="0">
      <w:start w:val="1"/>
      <w:numFmt w:val="decimal"/>
      <w:lvlText w:val="%1."/>
      <w:lvlJc w:val="left"/>
      <w:pPr>
        <w:ind w:left="720" w:hanging="360"/>
      </w:pPr>
      <w:rPr>
        <w:rFonts w:hint="default"/>
      </w:rPr>
    </w:lvl>
    <w:lvl w:ilvl="1">
      <w:start w:val="1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27E7E29"/>
    <w:multiLevelType w:val="hybridMultilevel"/>
    <w:tmpl w:val="81DA15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530A6D76"/>
    <w:multiLevelType w:val="hybridMultilevel"/>
    <w:tmpl w:val="4058F2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6DA3FA8"/>
    <w:multiLevelType w:val="hybridMultilevel"/>
    <w:tmpl w:val="6E02B9B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15:restartNumberingAfterBreak="0">
    <w:nsid w:val="616B0811"/>
    <w:multiLevelType w:val="hybridMultilevel"/>
    <w:tmpl w:val="A2BA3F3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7836517"/>
    <w:multiLevelType w:val="hybridMultilevel"/>
    <w:tmpl w:val="64CAEF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C3B50F1"/>
    <w:multiLevelType w:val="multilevel"/>
    <w:tmpl w:val="7F460C2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740C4488"/>
    <w:multiLevelType w:val="hybridMultilevel"/>
    <w:tmpl w:val="F8B8717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6"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4F10F2E"/>
    <w:multiLevelType w:val="multilevel"/>
    <w:tmpl w:val="0E8E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2"/>
  </w:num>
  <w:num w:numId="4">
    <w:abstractNumId w:val="4"/>
  </w:num>
  <w:num w:numId="5">
    <w:abstractNumId w:val="0"/>
  </w:num>
  <w:num w:numId="6">
    <w:abstractNumId w:val="9"/>
  </w:num>
  <w:num w:numId="7">
    <w:abstractNumId w:val="11"/>
  </w:num>
  <w:num w:numId="8">
    <w:abstractNumId w:val="18"/>
  </w:num>
  <w:num w:numId="9">
    <w:abstractNumId w:val="26"/>
  </w:num>
  <w:num w:numId="10">
    <w:abstractNumId w:val="15"/>
  </w:num>
  <w:num w:numId="11">
    <w:abstractNumId w:val="24"/>
  </w:num>
  <w:num w:numId="12">
    <w:abstractNumId w:val="22"/>
  </w:num>
  <w:num w:numId="13">
    <w:abstractNumId w:val="21"/>
  </w:num>
  <w:num w:numId="14">
    <w:abstractNumId w:val="17"/>
  </w:num>
  <w:num w:numId="15">
    <w:abstractNumId w:val="19"/>
  </w:num>
  <w:num w:numId="16">
    <w:abstractNumId w:val="20"/>
  </w:num>
  <w:num w:numId="17">
    <w:abstractNumId w:val="14"/>
  </w:num>
  <w:num w:numId="18">
    <w:abstractNumId w:val="23"/>
  </w:num>
  <w:num w:numId="19">
    <w:abstractNumId w:val="3"/>
  </w:num>
  <w:num w:numId="20">
    <w:abstractNumId w:val="5"/>
  </w:num>
  <w:num w:numId="21">
    <w:abstractNumId w:val="2"/>
  </w:num>
  <w:num w:numId="22">
    <w:abstractNumId w:val="27"/>
  </w:num>
  <w:num w:numId="23">
    <w:abstractNumId w:val="6"/>
  </w:num>
  <w:num w:numId="24">
    <w:abstractNumId w:val="1"/>
  </w:num>
  <w:num w:numId="25">
    <w:abstractNumId w:val="13"/>
  </w:num>
  <w:num w:numId="26">
    <w:abstractNumId w:val="10"/>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02322"/>
    <w:rsid w:val="00003B0A"/>
    <w:rsid w:val="0000452C"/>
    <w:rsid w:val="00007423"/>
    <w:rsid w:val="000077C0"/>
    <w:rsid w:val="00010447"/>
    <w:rsid w:val="00012722"/>
    <w:rsid w:val="00013E1B"/>
    <w:rsid w:val="00020B2B"/>
    <w:rsid w:val="00023E1F"/>
    <w:rsid w:val="0002508A"/>
    <w:rsid w:val="000254F6"/>
    <w:rsid w:val="00036FEE"/>
    <w:rsid w:val="000462F0"/>
    <w:rsid w:val="0005368F"/>
    <w:rsid w:val="0005549C"/>
    <w:rsid w:val="0005558E"/>
    <w:rsid w:val="000609A4"/>
    <w:rsid w:val="00063D29"/>
    <w:rsid w:val="00067870"/>
    <w:rsid w:val="00072852"/>
    <w:rsid w:val="000728C8"/>
    <w:rsid w:val="000731C4"/>
    <w:rsid w:val="000777F3"/>
    <w:rsid w:val="00080E2E"/>
    <w:rsid w:val="00081223"/>
    <w:rsid w:val="0008675D"/>
    <w:rsid w:val="000867D1"/>
    <w:rsid w:val="00086CA2"/>
    <w:rsid w:val="00095E87"/>
    <w:rsid w:val="0009790C"/>
    <w:rsid w:val="000979F8"/>
    <w:rsid w:val="000A1385"/>
    <w:rsid w:val="000A1F5C"/>
    <w:rsid w:val="000A3241"/>
    <w:rsid w:val="000A4BDF"/>
    <w:rsid w:val="000A506D"/>
    <w:rsid w:val="000B0A2E"/>
    <w:rsid w:val="000B35E0"/>
    <w:rsid w:val="000C0B4A"/>
    <w:rsid w:val="000C1698"/>
    <w:rsid w:val="000C2083"/>
    <w:rsid w:val="000C46B2"/>
    <w:rsid w:val="000C4E53"/>
    <w:rsid w:val="000D7ADD"/>
    <w:rsid w:val="000E1859"/>
    <w:rsid w:val="000E1C33"/>
    <w:rsid w:val="000F07AC"/>
    <w:rsid w:val="000F5DDF"/>
    <w:rsid w:val="000F67BD"/>
    <w:rsid w:val="000F6CB3"/>
    <w:rsid w:val="000F6D20"/>
    <w:rsid w:val="0010131C"/>
    <w:rsid w:val="00101F75"/>
    <w:rsid w:val="00104461"/>
    <w:rsid w:val="00107AD9"/>
    <w:rsid w:val="00111ED8"/>
    <w:rsid w:val="0011599B"/>
    <w:rsid w:val="00117CA5"/>
    <w:rsid w:val="001207C7"/>
    <w:rsid w:val="00123BAD"/>
    <w:rsid w:val="00124621"/>
    <w:rsid w:val="00124F7D"/>
    <w:rsid w:val="00125B8A"/>
    <w:rsid w:val="00127744"/>
    <w:rsid w:val="00127B8B"/>
    <w:rsid w:val="00127E41"/>
    <w:rsid w:val="00135AC4"/>
    <w:rsid w:val="00135BB2"/>
    <w:rsid w:val="00143E8E"/>
    <w:rsid w:val="001467E0"/>
    <w:rsid w:val="00150EE1"/>
    <w:rsid w:val="001520E7"/>
    <w:rsid w:val="00155764"/>
    <w:rsid w:val="00155D1D"/>
    <w:rsid w:val="001576E7"/>
    <w:rsid w:val="00163E42"/>
    <w:rsid w:val="0016724C"/>
    <w:rsid w:val="00170DDE"/>
    <w:rsid w:val="001727EF"/>
    <w:rsid w:val="00173A1D"/>
    <w:rsid w:val="00174036"/>
    <w:rsid w:val="00174599"/>
    <w:rsid w:val="00180F23"/>
    <w:rsid w:val="0018277A"/>
    <w:rsid w:val="0018667B"/>
    <w:rsid w:val="00187732"/>
    <w:rsid w:val="0019084E"/>
    <w:rsid w:val="00191F10"/>
    <w:rsid w:val="00195063"/>
    <w:rsid w:val="0019526B"/>
    <w:rsid w:val="001A3BB4"/>
    <w:rsid w:val="001A66FF"/>
    <w:rsid w:val="001A6B37"/>
    <w:rsid w:val="001B78C9"/>
    <w:rsid w:val="001C3297"/>
    <w:rsid w:val="001C73A0"/>
    <w:rsid w:val="001D1BD2"/>
    <w:rsid w:val="001D3F49"/>
    <w:rsid w:val="001D57E5"/>
    <w:rsid w:val="001D6E41"/>
    <w:rsid w:val="001E03EB"/>
    <w:rsid w:val="001E11DB"/>
    <w:rsid w:val="001E2046"/>
    <w:rsid w:val="001E2C53"/>
    <w:rsid w:val="001E2CD6"/>
    <w:rsid w:val="001E311F"/>
    <w:rsid w:val="001E47F0"/>
    <w:rsid w:val="001E78A1"/>
    <w:rsid w:val="001F0BEB"/>
    <w:rsid w:val="001F1E95"/>
    <w:rsid w:val="001F5288"/>
    <w:rsid w:val="001F5BFF"/>
    <w:rsid w:val="002178C0"/>
    <w:rsid w:val="002216C2"/>
    <w:rsid w:val="00222387"/>
    <w:rsid w:val="00222A04"/>
    <w:rsid w:val="002241B9"/>
    <w:rsid w:val="00224CF8"/>
    <w:rsid w:val="00224EF2"/>
    <w:rsid w:val="00226028"/>
    <w:rsid w:val="0022609F"/>
    <w:rsid w:val="00226C55"/>
    <w:rsid w:val="00227520"/>
    <w:rsid w:val="00232F06"/>
    <w:rsid w:val="00234BCB"/>
    <w:rsid w:val="002428C2"/>
    <w:rsid w:val="00245810"/>
    <w:rsid w:val="00247DB2"/>
    <w:rsid w:val="00250BBE"/>
    <w:rsid w:val="00251F56"/>
    <w:rsid w:val="0025214A"/>
    <w:rsid w:val="00252906"/>
    <w:rsid w:val="0025425A"/>
    <w:rsid w:val="00254C40"/>
    <w:rsid w:val="00254C5B"/>
    <w:rsid w:val="00255ABB"/>
    <w:rsid w:val="00255F7C"/>
    <w:rsid w:val="00256AF0"/>
    <w:rsid w:val="0025739E"/>
    <w:rsid w:val="00257BF5"/>
    <w:rsid w:val="00260D09"/>
    <w:rsid w:val="002614D4"/>
    <w:rsid w:val="00262DED"/>
    <w:rsid w:val="00262E97"/>
    <w:rsid w:val="00263AB8"/>
    <w:rsid w:val="0027100A"/>
    <w:rsid w:val="002714FA"/>
    <w:rsid w:val="00272E74"/>
    <w:rsid w:val="002741E8"/>
    <w:rsid w:val="00274238"/>
    <w:rsid w:val="00277E84"/>
    <w:rsid w:val="00281A51"/>
    <w:rsid w:val="00282F2B"/>
    <w:rsid w:val="00285435"/>
    <w:rsid w:val="00287BEA"/>
    <w:rsid w:val="0029099C"/>
    <w:rsid w:val="00291951"/>
    <w:rsid w:val="00297BF9"/>
    <w:rsid w:val="002A1272"/>
    <w:rsid w:val="002A3653"/>
    <w:rsid w:val="002A4597"/>
    <w:rsid w:val="002A698C"/>
    <w:rsid w:val="002B12E7"/>
    <w:rsid w:val="002B304A"/>
    <w:rsid w:val="002B335B"/>
    <w:rsid w:val="002B42DF"/>
    <w:rsid w:val="002B4F5F"/>
    <w:rsid w:val="002B5FED"/>
    <w:rsid w:val="002B6F65"/>
    <w:rsid w:val="002C2CE2"/>
    <w:rsid w:val="002C487B"/>
    <w:rsid w:val="002C4C1E"/>
    <w:rsid w:val="002C7B7D"/>
    <w:rsid w:val="002D3DE2"/>
    <w:rsid w:val="002D45E0"/>
    <w:rsid w:val="002D4BF0"/>
    <w:rsid w:val="002D4F9D"/>
    <w:rsid w:val="002D654F"/>
    <w:rsid w:val="002D6D19"/>
    <w:rsid w:val="002D7512"/>
    <w:rsid w:val="002E1035"/>
    <w:rsid w:val="002E12FA"/>
    <w:rsid w:val="002E3BAE"/>
    <w:rsid w:val="002E7256"/>
    <w:rsid w:val="002E7F52"/>
    <w:rsid w:val="002F209A"/>
    <w:rsid w:val="002F72D7"/>
    <w:rsid w:val="0030086D"/>
    <w:rsid w:val="003010DE"/>
    <w:rsid w:val="0030344E"/>
    <w:rsid w:val="00307451"/>
    <w:rsid w:val="00311F95"/>
    <w:rsid w:val="00313118"/>
    <w:rsid w:val="00313EC9"/>
    <w:rsid w:val="00315B69"/>
    <w:rsid w:val="00322DC6"/>
    <w:rsid w:val="00325F4B"/>
    <w:rsid w:val="003278CF"/>
    <w:rsid w:val="00327C45"/>
    <w:rsid w:val="0033435B"/>
    <w:rsid w:val="00335CDF"/>
    <w:rsid w:val="00336F93"/>
    <w:rsid w:val="00342145"/>
    <w:rsid w:val="003422FF"/>
    <w:rsid w:val="003426DB"/>
    <w:rsid w:val="003429A4"/>
    <w:rsid w:val="00342F6E"/>
    <w:rsid w:val="00350411"/>
    <w:rsid w:val="00351039"/>
    <w:rsid w:val="00353F32"/>
    <w:rsid w:val="00354488"/>
    <w:rsid w:val="00357389"/>
    <w:rsid w:val="00361D05"/>
    <w:rsid w:val="00363A4B"/>
    <w:rsid w:val="003650ED"/>
    <w:rsid w:val="003657EE"/>
    <w:rsid w:val="00366988"/>
    <w:rsid w:val="00367B9C"/>
    <w:rsid w:val="003722BE"/>
    <w:rsid w:val="0037459A"/>
    <w:rsid w:val="00375DD6"/>
    <w:rsid w:val="00375E3E"/>
    <w:rsid w:val="00385988"/>
    <w:rsid w:val="00385A95"/>
    <w:rsid w:val="003A524D"/>
    <w:rsid w:val="003A6202"/>
    <w:rsid w:val="003A6335"/>
    <w:rsid w:val="003A7267"/>
    <w:rsid w:val="003B2FF0"/>
    <w:rsid w:val="003B368E"/>
    <w:rsid w:val="003B571E"/>
    <w:rsid w:val="003C073E"/>
    <w:rsid w:val="003C11EC"/>
    <w:rsid w:val="003C2A51"/>
    <w:rsid w:val="003C2ACE"/>
    <w:rsid w:val="003C4554"/>
    <w:rsid w:val="003C7263"/>
    <w:rsid w:val="003C7CD6"/>
    <w:rsid w:val="003D2B3B"/>
    <w:rsid w:val="003D3A4E"/>
    <w:rsid w:val="003D3B95"/>
    <w:rsid w:val="003D5CD7"/>
    <w:rsid w:val="003E2218"/>
    <w:rsid w:val="003E3660"/>
    <w:rsid w:val="003E4B9F"/>
    <w:rsid w:val="003E633D"/>
    <w:rsid w:val="003F0266"/>
    <w:rsid w:val="003F383A"/>
    <w:rsid w:val="003F652C"/>
    <w:rsid w:val="004012E7"/>
    <w:rsid w:val="00401457"/>
    <w:rsid w:val="004014C3"/>
    <w:rsid w:val="0040251D"/>
    <w:rsid w:val="00403E70"/>
    <w:rsid w:val="004051ED"/>
    <w:rsid w:val="0040769E"/>
    <w:rsid w:val="0041385A"/>
    <w:rsid w:val="00413F07"/>
    <w:rsid w:val="0041550C"/>
    <w:rsid w:val="0042123B"/>
    <w:rsid w:val="00422D87"/>
    <w:rsid w:val="00423DCA"/>
    <w:rsid w:val="00424EB0"/>
    <w:rsid w:val="00425E5E"/>
    <w:rsid w:val="0042677F"/>
    <w:rsid w:val="00427AAC"/>
    <w:rsid w:val="004303BE"/>
    <w:rsid w:val="00430B7B"/>
    <w:rsid w:val="00430DD7"/>
    <w:rsid w:val="00431413"/>
    <w:rsid w:val="00435E22"/>
    <w:rsid w:val="00440C00"/>
    <w:rsid w:val="00443252"/>
    <w:rsid w:val="0044541B"/>
    <w:rsid w:val="00447142"/>
    <w:rsid w:val="00447ACE"/>
    <w:rsid w:val="00447B73"/>
    <w:rsid w:val="0045025F"/>
    <w:rsid w:val="004523FB"/>
    <w:rsid w:val="0045530E"/>
    <w:rsid w:val="0045614C"/>
    <w:rsid w:val="00456E26"/>
    <w:rsid w:val="00457154"/>
    <w:rsid w:val="004608A7"/>
    <w:rsid w:val="004611DD"/>
    <w:rsid w:val="00461E5E"/>
    <w:rsid w:val="0046203B"/>
    <w:rsid w:val="00471D0C"/>
    <w:rsid w:val="00473DDB"/>
    <w:rsid w:val="00475B4B"/>
    <w:rsid w:val="004803C6"/>
    <w:rsid w:val="0049545E"/>
    <w:rsid w:val="004A2D1E"/>
    <w:rsid w:val="004A33D5"/>
    <w:rsid w:val="004A4E89"/>
    <w:rsid w:val="004A630C"/>
    <w:rsid w:val="004B1545"/>
    <w:rsid w:val="004B5647"/>
    <w:rsid w:val="004B5693"/>
    <w:rsid w:val="004B5FE7"/>
    <w:rsid w:val="004B6566"/>
    <w:rsid w:val="004C0DA2"/>
    <w:rsid w:val="004D0AE9"/>
    <w:rsid w:val="004D1BC8"/>
    <w:rsid w:val="004D21EF"/>
    <w:rsid w:val="004D27B7"/>
    <w:rsid w:val="004D2C44"/>
    <w:rsid w:val="004D3725"/>
    <w:rsid w:val="004D5FD7"/>
    <w:rsid w:val="004D6C15"/>
    <w:rsid w:val="004E096C"/>
    <w:rsid w:val="004E099C"/>
    <w:rsid w:val="004E320C"/>
    <w:rsid w:val="004E3215"/>
    <w:rsid w:val="004E5870"/>
    <w:rsid w:val="004F063D"/>
    <w:rsid w:val="005032F7"/>
    <w:rsid w:val="00504128"/>
    <w:rsid w:val="005064AC"/>
    <w:rsid w:val="005074FA"/>
    <w:rsid w:val="005103AB"/>
    <w:rsid w:val="005111AB"/>
    <w:rsid w:val="00511B4F"/>
    <w:rsid w:val="00512ECE"/>
    <w:rsid w:val="00512F17"/>
    <w:rsid w:val="00512F19"/>
    <w:rsid w:val="005136FD"/>
    <w:rsid w:val="00513E9F"/>
    <w:rsid w:val="00516671"/>
    <w:rsid w:val="0051695F"/>
    <w:rsid w:val="00517655"/>
    <w:rsid w:val="00521FE2"/>
    <w:rsid w:val="005329E7"/>
    <w:rsid w:val="005351CF"/>
    <w:rsid w:val="00536C9A"/>
    <w:rsid w:val="0054406B"/>
    <w:rsid w:val="005440DF"/>
    <w:rsid w:val="005463FE"/>
    <w:rsid w:val="00547818"/>
    <w:rsid w:val="005538E5"/>
    <w:rsid w:val="00554F1A"/>
    <w:rsid w:val="0055637C"/>
    <w:rsid w:val="00557531"/>
    <w:rsid w:val="00562132"/>
    <w:rsid w:val="00563857"/>
    <w:rsid w:val="00563FEA"/>
    <w:rsid w:val="00566418"/>
    <w:rsid w:val="00566C7E"/>
    <w:rsid w:val="00567FDB"/>
    <w:rsid w:val="005709C7"/>
    <w:rsid w:val="00570A21"/>
    <w:rsid w:val="00572FA5"/>
    <w:rsid w:val="00577320"/>
    <w:rsid w:val="005857D9"/>
    <w:rsid w:val="005859A7"/>
    <w:rsid w:val="00585D2C"/>
    <w:rsid w:val="00586079"/>
    <w:rsid w:val="00586EA9"/>
    <w:rsid w:val="00587C82"/>
    <w:rsid w:val="005A153E"/>
    <w:rsid w:val="005A3ABF"/>
    <w:rsid w:val="005A7AA9"/>
    <w:rsid w:val="005B07FD"/>
    <w:rsid w:val="005B086A"/>
    <w:rsid w:val="005B5692"/>
    <w:rsid w:val="005C3506"/>
    <w:rsid w:val="005C63BD"/>
    <w:rsid w:val="005D181B"/>
    <w:rsid w:val="005D2E0A"/>
    <w:rsid w:val="005D46AA"/>
    <w:rsid w:val="005E1A89"/>
    <w:rsid w:val="005E38CA"/>
    <w:rsid w:val="005E76B2"/>
    <w:rsid w:val="005F018A"/>
    <w:rsid w:val="005F2516"/>
    <w:rsid w:val="005F48F3"/>
    <w:rsid w:val="00601355"/>
    <w:rsid w:val="006016A1"/>
    <w:rsid w:val="00605F49"/>
    <w:rsid w:val="00607CD1"/>
    <w:rsid w:val="0061180C"/>
    <w:rsid w:val="006146A2"/>
    <w:rsid w:val="00626025"/>
    <w:rsid w:val="006312F8"/>
    <w:rsid w:val="00647AF9"/>
    <w:rsid w:val="00651782"/>
    <w:rsid w:val="006549EA"/>
    <w:rsid w:val="006610B4"/>
    <w:rsid w:val="00662EAE"/>
    <w:rsid w:val="00665E29"/>
    <w:rsid w:val="006666F8"/>
    <w:rsid w:val="00670FEB"/>
    <w:rsid w:val="0067121F"/>
    <w:rsid w:val="0067201F"/>
    <w:rsid w:val="00675FAC"/>
    <w:rsid w:val="00677BE7"/>
    <w:rsid w:val="00680894"/>
    <w:rsid w:val="00681CA4"/>
    <w:rsid w:val="00690293"/>
    <w:rsid w:val="00691A33"/>
    <w:rsid w:val="006933C9"/>
    <w:rsid w:val="0069597A"/>
    <w:rsid w:val="00697988"/>
    <w:rsid w:val="006A1BBA"/>
    <w:rsid w:val="006A24BD"/>
    <w:rsid w:val="006A5A02"/>
    <w:rsid w:val="006B2641"/>
    <w:rsid w:val="006B35FA"/>
    <w:rsid w:val="006B38F7"/>
    <w:rsid w:val="006B46F5"/>
    <w:rsid w:val="006B6835"/>
    <w:rsid w:val="006B7183"/>
    <w:rsid w:val="006C0390"/>
    <w:rsid w:val="006C14C5"/>
    <w:rsid w:val="006C79A6"/>
    <w:rsid w:val="006D447E"/>
    <w:rsid w:val="006D4BBC"/>
    <w:rsid w:val="006E07E6"/>
    <w:rsid w:val="006E108A"/>
    <w:rsid w:val="006E45B1"/>
    <w:rsid w:val="006E4EC6"/>
    <w:rsid w:val="006E744E"/>
    <w:rsid w:val="006F0BCF"/>
    <w:rsid w:val="006F3D81"/>
    <w:rsid w:val="006F4873"/>
    <w:rsid w:val="006F5E07"/>
    <w:rsid w:val="006F69E6"/>
    <w:rsid w:val="00701FF2"/>
    <w:rsid w:val="0070332A"/>
    <w:rsid w:val="007043B4"/>
    <w:rsid w:val="00704D6D"/>
    <w:rsid w:val="007062E4"/>
    <w:rsid w:val="0070657B"/>
    <w:rsid w:val="007066AB"/>
    <w:rsid w:val="007109A7"/>
    <w:rsid w:val="00712AEE"/>
    <w:rsid w:val="00713512"/>
    <w:rsid w:val="00715EFB"/>
    <w:rsid w:val="0072489E"/>
    <w:rsid w:val="00725063"/>
    <w:rsid w:val="00726CE6"/>
    <w:rsid w:val="00727D02"/>
    <w:rsid w:val="00730AD6"/>
    <w:rsid w:val="00733728"/>
    <w:rsid w:val="0073604A"/>
    <w:rsid w:val="007405CC"/>
    <w:rsid w:val="007436B1"/>
    <w:rsid w:val="00745548"/>
    <w:rsid w:val="00750249"/>
    <w:rsid w:val="00751871"/>
    <w:rsid w:val="0075206C"/>
    <w:rsid w:val="00753420"/>
    <w:rsid w:val="00756F89"/>
    <w:rsid w:val="00756F9F"/>
    <w:rsid w:val="00763CDF"/>
    <w:rsid w:val="00763E94"/>
    <w:rsid w:val="00765171"/>
    <w:rsid w:val="007667A3"/>
    <w:rsid w:val="0077178A"/>
    <w:rsid w:val="00773EC3"/>
    <w:rsid w:val="00774BBF"/>
    <w:rsid w:val="007756B2"/>
    <w:rsid w:val="0077835D"/>
    <w:rsid w:val="00780174"/>
    <w:rsid w:val="0078064B"/>
    <w:rsid w:val="00780953"/>
    <w:rsid w:val="007826C5"/>
    <w:rsid w:val="00784A38"/>
    <w:rsid w:val="00790DA6"/>
    <w:rsid w:val="0079125C"/>
    <w:rsid w:val="0079239F"/>
    <w:rsid w:val="00794930"/>
    <w:rsid w:val="00795FFA"/>
    <w:rsid w:val="007A0AE4"/>
    <w:rsid w:val="007A2200"/>
    <w:rsid w:val="007A4FA1"/>
    <w:rsid w:val="007A6B73"/>
    <w:rsid w:val="007B012D"/>
    <w:rsid w:val="007B0846"/>
    <w:rsid w:val="007B4BE8"/>
    <w:rsid w:val="007B6165"/>
    <w:rsid w:val="007C12D0"/>
    <w:rsid w:val="007C44CE"/>
    <w:rsid w:val="007C5DFB"/>
    <w:rsid w:val="007C7089"/>
    <w:rsid w:val="007D1D06"/>
    <w:rsid w:val="007D34E7"/>
    <w:rsid w:val="007D3BC7"/>
    <w:rsid w:val="007D5028"/>
    <w:rsid w:val="007E24F2"/>
    <w:rsid w:val="007E75A2"/>
    <w:rsid w:val="007E7956"/>
    <w:rsid w:val="007F12A5"/>
    <w:rsid w:val="007F29B8"/>
    <w:rsid w:val="007F2E31"/>
    <w:rsid w:val="007F425B"/>
    <w:rsid w:val="007F62CC"/>
    <w:rsid w:val="00800792"/>
    <w:rsid w:val="00803454"/>
    <w:rsid w:val="00810755"/>
    <w:rsid w:val="00813D18"/>
    <w:rsid w:val="008151F2"/>
    <w:rsid w:val="008161D5"/>
    <w:rsid w:val="00817A9A"/>
    <w:rsid w:val="0082063B"/>
    <w:rsid w:val="008216A8"/>
    <w:rsid w:val="00821B2D"/>
    <w:rsid w:val="008221CE"/>
    <w:rsid w:val="00822692"/>
    <w:rsid w:val="008232EE"/>
    <w:rsid w:val="00824EE8"/>
    <w:rsid w:val="00830D71"/>
    <w:rsid w:val="008327A8"/>
    <w:rsid w:val="00833031"/>
    <w:rsid w:val="008352D2"/>
    <w:rsid w:val="00836535"/>
    <w:rsid w:val="00837FC0"/>
    <w:rsid w:val="00841667"/>
    <w:rsid w:val="00843A42"/>
    <w:rsid w:val="0085048B"/>
    <w:rsid w:val="00853544"/>
    <w:rsid w:val="00856596"/>
    <w:rsid w:val="00856DE7"/>
    <w:rsid w:val="008579FB"/>
    <w:rsid w:val="00860EFC"/>
    <w:rsid w:val="00862EA9"/>
    <w:rsid w:val="00863E59"/>
    <w:rsid w:val="00864346"/>
    <w:rsid w:val="00873391"/>
    <w:rsid w:val="008740DC"/>
    <w:rsid w:val="008744A3"/>
    <w:rsid w:val="00876251"/>
    <w:rsid w:val="00876AA5"/>
    <w:rsid w:val="008777B6"/>
    <w:rsid w:val="00877A18"/>
    <w:rsid w:val="008814AC"/>
    <w:rsid w:val="00881B1D"/>
    <w:rsid w:val="00882A42"/>
    <w:rsid w:val="00882B49"/>
    <w:rsid w:val="00884BB1"/>
    <w:rsid w:val="008942B8"/>
    <w:rsid w:val="008A2B3D"/>
    <w:rsid w:val="008A3E08"/>
    <w:rsid w:val="008A6E6E"/>
    <w:rsid w:val="008B05EE"/>
    <w:rsid w:val="008B3B9C"/>
    <w:rsid w:val="008B3FAA"/>
    <w:rsid w:val="008C2FDC"/>
    <w:rsid w:val="008D5C30"/>
    <w:rsid w:val="008E0C4E"/>
    <w:rsid w:val="008E21F5"/>
    <w:rsid w:val="008E4354"/>
    <w:rsid w:val="008F357E"/>
    <w:rsid w:val="008F3F56"/>
    <w:rsid w:val="008F572F"/>
    <w:rsid w:val="00905A97"/>
    <w:rsid w:val="00905DC3"/>
    <w:rsid w:val="00917898"/>
    <w:rsid w:val="0092068A"/>
    <w:rsid w:val="00921A46"/>
    <w:rsid w:val="00926306"/>
    <w:rsid w:val="00927D10"/>
    <w:rsid w:val="00927EF8"/>
    <w:rsid w:val="00927FF9"/>
    <w:rsid w:val="00932127"/>
    <w:rsid w:val="009328E6"/>
    <w:rsid w:val="00934FD8"/>
    <w:rsid w:val="00944D2D"/>
    <w:rsid w:val="009453EF"/>
    <w:rsid w:val="00946E50"/>
    <w:rsid w:val="00951B3A"/>
    <w:rsid w:val="00951E9E"/>
    <w:rsid w:val="00952810"/>
    <w:rsid w:val="00954108"/>
    <w:rsid w:val="009546EA"/>
    <w:rsid w:val="00954A34"/>
    <w:rsid w:val="00960080"/>
    <w:rsid w:val="009642A4"/>
    <w:rsid w:val="00964412"/>
    <w:rsid w:val="00965BFF"/>
    <w:rsid w:val="00965CC3"/>
    <w:rsid w:val="00966FA7"/>
    <w:rsid w:val="00967207"/>
    <w:rsid w:val="00967E80"/>
    <w:rsid w:val="009722AC"/>
    <w:rsid w:val="00974CEF"/>
    <w:rsid w:val="00976076"/>
    <w:rsid w:val="00981119"/>
    <w:rsid w:val="009840F0"/>
    <w:rsid w:val="009861F6"/>
    <w:rsid w:val="00994803"/>
    <w:rsid w:val="009953D6"/>
    <w:rsid w:val="00995494"/>
    <w:rsid w:val="009A056F"/>
    <w:rsid w:val="009A38CE"/>
    <w:rsid w:val="009B4F7F"/>
    <w:rsid w:val="009B51C5"/>
    <w:rsid w:val="009B6D95"/>
    <w:rsid w:val="009C0C38"/>
    <w:rsid w:val="009C50B9"/>
    <w:rsid w:val="009C5A4B"/>
    <w:rsid w:val="009D32EB"/>
    <w:rsid w:val="009D5654"/>
    <w:rsid w:val="009D6644"/>
    <w:rsid w:val="009E0BB9"/>
    <w:rsid w:val="009E7180"/>
    <w:rsid w:val="009E7A73"/>
    <w:rsid w:val="009F127C"/>
    <w:rsid w:val="009F17F3"/>
    <w:rsid w:val="009F50DE"/>
    <w:rsid w:val="00A0203F"/>
    <w:rsid w:val="00A033C8"/>
    <w:rsid w:val="00A05DC9"/>
    <w:rsid w:val="00A0616E"/>
    <w:rsid w:val="00A1197C"/>
    <w:rsid w:val="00A12EB5"/>
    <w:rsid w:val="00A138EA"/>
    <w:rsid w:val="00A1581B"/>
    <w:rsid w:val="00A1609D"/>
    <w:rsid w:val="00A268BF"/>
    <w:rsid w:val="00A300C1"/>
    <w:rsid w:val="00A30A4C"/>
    <w:rsid w:val="00A34809"/>
    <w:rsid w:val="00A349CE"/>
    <w:rsid w:val="00A36391"/>
    <w:rsid w:val="00A377CA"/>
    <w:rsid w:val="00A40388"/>
    <w:rsid w:val="00A41FED"/>
    <w:rsid w:val="00A433DE"/>
    <w:rsid w:val="00A57AE2"/>
    <w:rsid w:val="00A61377"/>
    <w:rsid w:val="00A641B7"/>
    <w:rsid w:val="00A6636F"/>
    <w:rsid w:val="00A70C73"/>
    <w:rsid w:val="00A739F8"/>
    <w:rsid w:val="00A7637B"/>
    <w:rsid w:val="00A80793"/>
    <w:rsid w:val="00A82110"/>
    <w:rsid w:val="00A8230B"/>
    <w:rsid w:val="00A860FA"/>
    <w:rsid w:val="00A86603"/>
    <w:rsid w:val="00A91957"/>
    <w:rsid w:val="00A93699"/>
    <w:rsid w:val="00A941B2"/>
    <w:rsid w:val="00A95165"/>
    <w:rsid w:val="00A956A2"/>
    <w:rsid w:val="00A96070"/>
    <w:rsid w:val="00A96E0F"/>
    <w:rsid w:val="00AA3A17"/>
    <w:rsid w:val="00AA3C60"/>
    <w:rsid w:val="00AB0E6A"/>
    <w:rsid w:val="00AB364F"/>
    <w:rsid w:val="00AB45F5"/>
    <w:rsid w:val="00AB4ED4"/>
    <w:rsid w:val="00AB59A8"/>
    <w:rsid w:val="00AB5B93"/>
    <w:rsid w:val="00AB7429"/>
    <w:rsid w:val="00AB7666"/>
    <w:rsid w:val="00AB7AB9"/>
    <w:rsid w:val="00AC1C08"/>
    <w:rsid w:val="00AC7E18"/>
    <w:rsid w:val="00AD1480"/>
    <w:rsid w:val="00AD1CB4"/>
    <w:rsid w:val="00AD292E"/>
    <w:rsid w:val="00AD4EA8"/>
    <w:rsid w:val="00AE37A6"/>
    <w:rsid w:val="00AE38D4"/>
    <w:rsid w:val="00AE434D"/>
    <w:rsid w:val="00AE726A"/>
    <w:rsid w:val="00AF069D"/>
    <w:rsid w:val="00AF2766"/>
    <w:rsid w:val="00B015A2"/>
    <w:rsid w:val="00B0293E"/>
    <w:rsid w:val="00B0354D"/>
    <w:rsid w:val="00B13BA7"/>
    <w:rsid w:val="00B15187"/>
    <w:rsid w:val="00B20C75"/>
    <w:rsid w:val="00B3347A"/>
    <w:rsid w:val="00B35AFA"/>
    <w:rsid w:val="00B37969"/>
    <w:rsid w:val="00B37E6D"/>
    <w:rsid w:val="00B419CD"/>
    <w:rsid w:val="00B41D48"/>
    <w:rsid w:val="00B44B68"/>
    <w:rsid w:val="00B4527E"/>
    <w:rsid w:val="00B46E66"/>
    <w:rsid w:val="00B531BA"/>
    <w:rsid w:val="00B56327"/>
    <w:rsid w:val="00B5737C"/>
    <w:rsid w:val="00B622BB"/>
    <w:rsid w:val="00B63E3F"/>
    <w:rsid w:val="00B700BA"/>
    <w:rsid w:val="00B71F30"/>
    <w:rsid w:val="00B7383F"/>
    <w:rsid w:val="00B80D49"/>
    <w:rsid w:val="00B82B7D"/>
    <w:rsid w:val="00B85C0B"/>
    <w:rsid w:val="00B865D2"/>
    <w:rsid w:val="00B9273B"/>
    <w:rsid w:val="00B95664"/>
    <w:rsid w:val="00B97B12"/>
    <w:rsid w:val="00B97E0B"/>
    <w:rsid w:val="00BA0402"/>
    <w:rsid w:val="00BA71D7"/>
    <w:rsid w:val="00BB147E"/>
    <w:rsid w:val="00BB2C6C"/>
    <w:rsid w:val="00BB352E"/>
    <w:rsid w:val="00BB6E2F"/>
    <w:rsid w:val="00BC1636"/>
    <w:rsid w:val="00BC1AA5"/>
    <w:rsid w:val="00BC20D8"/>
    <w:rsid w:val="00BC2FF3"/>
    <w:rsid w:val="00BC3D44"/>
    <w:rsid w:val="00BC5135"/>
    <w:rsid w:val="00BC5480"/>
    <w:rsid w:val="00BC6528"/>
    <w:rsid w:val="00BC7774"/>
    <w:rsid w:val="00BD0A56"/>
    <w:rsid w:val="00BD2CDA"/>
    <w:rsid w:val="00BD3C1B"/>
    <w:rsid w:val="00BE31FF"/>
    <w:rsid w:val="00BE3321"/>
    <w:rsid w:val="00BE6F3A"/>
    <w:rsid w:val="00BF05B1"/>
    <w:rsid w:val="00BF0EA5"/>
    <w:rsid w:val="00BF2125"/>
    <w:rsid w:val="00BF425B"/>
    <w:rsid w:val="00BF5011"/>
    <w:rsid w:val="00BF596B"/>
    <w:rsid w:val="00BF616D"/>
    <w:rsid w:val="00C001B6"/>
    <w:rsid w:val="00C020A7"/>
    <w:rsid w:val="00C05C28"/>
    <w:rsid w:val="00C0601E"/>
    <w:rsid w:val="00C102C5"/>
    <w:rsid w:val="00C104BB"/>
    <w:rsid w:val="00C1093A"/>
    <w:rsid w:val="00C10CA4"/>
    <w:rsid w:val="00C110B4"/>
    <w:rsid w:val="00C133CB"/>
    <w:rsid w:val="00C16085"/>
    <w:rsid w:val="00C17156"/>
    <w:rsid w:val="00C22E45"/>
    <w:rsid w:val="00C246C3"/>
    <w:rsid w:val="00C25246"/>
    <w:rsid w:val="00C265DA"/>
    <w:rsid w:val="00C33292"/>
    <w:rsid w:val="00C37AE3"/>
    <w:rsid w:val="00C41179"/>
    <w:rsid w:val="00C42A68"/>
    <w:rsid w:val="00C430F5"/>
    <w:rsid w:val="00C451AC"/>
    <w:rsid w:val="00C46B73"/>
    <w:rsid w:val="00C471E6"/>
    <w:rsid w:val="00C5003A"/>
    <w:rsid w:val="00C50997"/>
    <w:rsid w:val="00C5234C"/>
    <w:rsid w:val="00C634B0"/>
    <w:rsid w:val="00C64A5C"/>
    <w:rsid w:val="00C6640A"/>
    <w:rsid w:val="00C6737C"/>
    <w:rsid w:val="00C67654"/>
    <w:rsid w:val="00C67F5C"/>
    <w:rsid w:val="00C72F80"/>
    <w:rsid w:val="00C7606B"/>
    <w:rsid w:val="00C82B9D"/>
    <w:rsid w:val="00C84087"/>
    <w:rsid w:val="00C904B0"/>
    <w:rsid w:val="00C93947"/>
    <w:rsid w:val="00C939C7"/>
    <w:rsid w:val="00C94468"/>
    <w:rsid w:val="00C95159"/>
    <w:rsid w:val="00C96B59"/>
    <w:rsid w:val="00C96D08"/>
    <w:rsid w:val="00CA0E5E"/>
    <w:rsid w:val="00CA21D3"/>
    <w:rsid w:val="00CA3A38"/>
    <w:rsid w:val="00CA447C"/>
    <w:rsid w:val="00CA553C"/>
    <w:rsid w:val="00CA629E"/>
    <w:rsid w:val="00CB05C4"/>
    <w:rsid w:val="00CB1310"/>
    <w:rsid w:val="00CB1E19"/>
    <w:rsid w:val="00CB2715"/>
    <w:rsid w:val="00CB29C2"/>
    <w:rsid w:val="00CB3444"/>
    <w:rsid w:val="00CB629A"/>
    <w:rsid w:val="00CB76AA"/>
    <w:rsid w:val="00CC1531"/>
    <w:rsid w:val="00CC194D"/>
    <w:rsid w:val="00CC3DAA"/>
    <w:rsid w:val="00CC3EE7"/>
    <w:rsid w:val="00CC70D6"/>
    <w:rsid w:val="00CD434C"/>
    <w:rsid w:val="00CD4CC2"/>
    <w:rsid w:val="00CE2BB5"/>
    <w:rsid w:val="00CE2FDB"/>
    <w:rsid w:val="00CE73D8"/>
    <w:rsid w:val="00CF1580"/>
    <w:rsid w:val="00CF3A54"/>
    <w:rsid w:val="00CF3DBA"/>
    <w:rsid w:val="00CF6AE7"/>
    <w:rsid w:val="00CF75D0"/>
    <w:rsid w:val="00D020A8"/>
    <w:rsid w:val="00D03209"/>
    <w:rsid w:val="00D0371D"/>
    <w:rsid w:val="00D0758C"/>
    <w:rsid w:val="00D1109C"/>
    <w:rsid w:val="00D1165E"/>
    <w:rsid w:val="00D13504"/>
    <w:rsid w:val="00D13EED"/>
    <w:rsid w:val="00D15759"/>
    <w:rsid w:val="00D15DCF"/>
    <w:rsid w:val="00D16ECF"/>
    <w:rsid w:val="00D203E5"/>
    <w:rsid w:val="00D22E24"/>
    <w:rsid w:val="00D2314D"/>
    <w:rsid w:val="00D24D99"/>
    <w:rsid w:val="00D318D8"/>
    <w:rsid w:val="00D33FAD"/>
    <w:rsid w:val="00D34B60"/>
    <w:rsid w:val="00D36C21"/>
    <w:rsid w:val="00D40B6C"/>
    <w:rsid w:val="00D43CAE"/>
    <w:rsid w:val="00D46DFE"/>
    <w:rsid w:val="00D46F69"/>
    <w:rsid w:val="00D503B8"/>
    <w:rsid w:val="00D55A33"/>
    <w:rsid w:val="00D61A47"/>
    <w:rsid w:val="00D62F62"/>
    <w:rsid w:val="00D64265"/>
    <w:rsid w:val="00D644AA"/>
    <w:rsid w:val="00D74B39"/>
    <w:rsid w:val="00D7728C"/>
    <w:rsid w:val="00D8264C"/>
    <w:rsid w:val="00D83FDE"/>
    <w:rsid w:val="00D91C5D"/>
    <w:rsid w:val="00D9247E"/>
    <w:rsid w:val="00D963C7"/>
    <w:rsid w:val="00D97465"/>
    <w:rsid w:val="00DA6C14"/>
    <w:rsid w:val="00DB2B58"/>
    <w:rsid w:val="00DB2FF3"/>
    <w:rsid w:val="00DB4CBE"/>
    <w:rsid w:val="00DC217D"/>
    <w:rsid w:val="00DC3823"/>
    <w:rsid w:val="00DC5102"/>
    <w:rsid w:val="00DC7173"/>
    <w:rsid w:val="00DD5B6C"/>
    <w:rsid w:val="00DD6AF2"/>
    <w:rsid w:val="00DD6BBE"/>
    <w:rsid w:val="00DE0F14"/>
    <w:rsid w:val="00DE2CE6"/>
    <w:rsid w:val="00DE32FF"/>
    <w:rsid w:val="00DE5588"/>
    <w:rsid w:val="00DE56B9"/>
    <w:rsid w:val="00DE6B2E"/>
    <w:rsid w:val="00DE6CDE"/>
    <w:rsid w:val="00DE7D5B"/>
    <w:rsid w:val="00DF0BCD"/>
    <w:rsid w:val="00DF48CA"/>
    <w:rsid w:val="00E00614"/>
    <w:rsid w:val="00E01168"/>
    <w:rsid w:val="00E04B35"/>
    <w:rsid w:val="00E04BF4"/>
    <w:rsid w:val="00E10E0F"/>
    <w:rsid w:val="00E12254"/>
    <w:rsid w:val="00E12DB5"/>
    <w:rsid w:val="00E15431"/>
    <w:rsid w:val="00E23D47"/>
    <w:rsid w:val="00E23EAD"/>
    <w:rsid w:val="00E2798F"/>
    <w:rsid w:val="00E27F03"/>
    <w:rsid w:val="00E32190"/>
    <w:rsid w:val="00E33176"/>
    <w:rsid w:val="00E36237"/>
    <w:rsid w:val="00E37099"/>
    <w:rsid w:val="00E42F1A"/>
    <w:rsid w:val="00E44F06"/>
    <w:rsid w:val="00E44F71"/>
    <w:rsid w:val="00E46749"/>
    <w:rsid w:val="00E479E0"/>
    <w:rsid w:val="00E52091"/>
    <w:rsid w:val="00E53306"/>
    <w:rsid w:val="00E53D7B"/>
    <w:rsid w:val="00E57062"/>
    <w:rsid w:val="00E613EA"/>
    <w:rsid w:val="00E7295C"/>
    <w:rsid w:val="00E7592F"/>
    <w:rsid w:val="00E8106B"/>
    <w:rsid w:val="00E81B69"/>
    <w:rsid w:val="00E8224B"/>
    <w:rsid w:val="00E83FDA"/>
    <w:rsid w:val="00E86A4F"/>
    <w:rsid w:val="00E86DDE"/>
    <w:rsid w:val="00E90CA6"/>
    <w:rsid w:val="00E931FB"/>
    <w:rsid w:val="00E96301"/>
    <w:rsid w:val="00E97D0F"/>
    <w:rsid w:val="00EA313E"/>
    <w:rsid w:val="00EA3EF1"/>
    <w:rsid w:val="00EA4D10"/>
    <w:rsid w:val="00EB1A09"/>
    <w:rsid w:val="00EB2E44"/>
    <w:rsid w:val="00EB352C"/>
    <w:rsid w:val="00EB3597"/>
    <w:rsid w:val="00EB4526"/>
    <w:rsid w:val="00EB74C5"/>
    <w:rsid w:val="00EC01E9"/>
    <w:rsid w:val="00EC4620"/>
    <w:rsid w:val="00ED0409"/>
    <w:rsid w:val="00ED145E"/>
    <w:rsid w:val="00ED392B"/>
    <w:rsid w:val="00ED51E4"/>
    <w:rsid w:val="00EE0E60"/>
    <w:rsid w:val="00EE4C28"/>
    <w:rsid w:val="00EE5404"/>
    <w:rsid w:val="00EF0B3D"/>
    <w:rsid w:val="00EF6BDF"/>
    <w:rsid w:val="00EF702C"/>
    <w:rsid w:val="00EF7154"/>
    <w:rsid w:val="00EF7D1A"/>
    <w:rsid w:val="00F018DF"/>
    <w:rsid w:val="00F03886"/>
    <w:rsid w:val="00F03B5E"/>
    <w:rsid w:val="00F066E5"/>
    <w:rsid w:val="00F15AB4"/>
    <w:rsid w:val="00F20AD5"/>
    <w:rsid w:val="00F2629D"/>
    <w:rsid w:val="00F27D21"/>
    <w:rsid w:val="00F32020"/>
    <w:rsid w:val="00F3218E"/>
    <w:rsid w:val="00F32EE5"/>
    <w:rsid w:val="00F3714A"/>
    <w:rsid w:val="00F4277A"/>
    <w:rsid w:val="00F43ABB"/>
    <w:rsid w:val="00F54B7A"/>
    <w:rsid w:val="00F55940"/>
    <w:rsid w:val="00F60C72"/>
    <w:rsid w:val="00F62540"/>
    <w:rsid w:val="00F66506"/>
    <w:rsid w:val="00F72EDC"/>
    <w:rsid w:val="00F83BF0"/>
    <w:rsid w:val="00F85764"/>
    <w:rsid w:val="00F860DC"/>
    <w:rsid w:val="00F86948"/>
    <w:rsid w:val="00F90213"/>
    <w:rsid w:val="00F9061B"/>
    <w:rsid w:val="00F90AD5"/>
    <w:rsid w:val="00F91D0F"/>
    <w:rsid w:val="00F92076"/>
    <w:rsid w:val="00F920F9"/>
    <w:rsid w:val="00F9308D"/>
    <w:rsid w:val="00F932FC"/>
    <w:rsid w:val="00F94D9A"/>
    <w:rsid w:val="00F9587F"/>
    <w:rsid w:val="00F95DCF"/>
    <w:rsid w:val="00F974FD"/>
    <w:rsid w:val="00FA0C90"/>
    <w:rsid w:val="00FA37D2"/>
    <w:rsid w:val="00FA5A7C"/>
    <w:rsid w:val="00FB1DBF"/>
    <w:rsid w:val="00FB38A8"/>
    <w:rsid w:val="00FB6F83"/>
    <w:rsid w:val="00FC41F6"/>
    <w:rsid w:val="00FC6DA5"/>
    <w:rsid w:val="00FD1169"/>
    <w:rsid w:val="00FD1919"/>
    <w:rsid w:val="00FD2D2A"/>
    <w:rsid w:val="00FD4A77"/>
    <w:rsid w:val="00FE0BA4"/>
    <w:rsid w:val="00FE3196"/>
    <w:rsid w:val="00FE3F45"/>
    <w:rsid w:val="00FE478E"/>
    <w:rsid w:val="00FE51FB"/>
    <w:rsid w:val="00FE6D12"/>
    <w:rsid w:val="00FE7524"/>
    <w:rsid w:val="00FE758F"/>
    <w:rsid w:val="00FF2D15"/>
    <w:rsid w:val="00FF3BE7"/>
    <w:rsid w:val="00FF3EED"/>
    <w:rsid w:val="00FF5A33"/>
    <w:rsid w:val="0287759C"/>
    <w:rsid w:val="02D95CD7"/>
    <w:rsid w:val="0A450A31"/>
    <w:rsid w:val="0F34F898"/>
    <w:rsid w:val="1805DA4A"/>
    <w:rsid w:val="1EE6BA4D"/>
    <w:rsid w:val="20EE1000"/>
    <w:rsid w:val="22DBBC09"/>
    <w:rsid w:val="23163D32"/>
    <w:rsid w:val="2C06F070"/>
    <w:rsid w:val="2D26448C"/>
    <w:rsid w:val="326824C6"/>
    <w:rsid w:val="391E0080"/>
    <w:rsid w:val="41CD34D7"/>
    <w:rsid w:val="49514E36"/>
    <w:rsid w:val="51953782"/>
    <w:rsid w:val="519FFCBF"/>
    <w:rsid w:val="51EBA453"/>
    <w:rsid w:val="53519408"/>
    <w:rsid w:val="5B15B045"/>
    <w:rsid w:val="5C1F64B7"/>
    <w:rsid w:val="669016F6"/>
    <w:rsid w:val="6B1C2495"/>
    <w:rsid w:val="6BBD9FC3"/>
    <w:rsid w:val="6F21509D"/>
    <w:rsid w:val="727AED36"/>
    <w:rsid w:val="7BE97BC0"/>
    <w:rsid w:val="7CB06C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72F1B"/>
  <w15:docId w15:val="{1BED9234-3B2E-4755-9957-8DACD693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7CA"/>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rsid w:val="005B086A"/>
    <w:rPr>
      <w:sz w:val="20"/>
      <w:szCs w:val="20"/>
    </w:rPr>
  </w:style>
  <w:style w:type="character" w:styleId="Refdenotaalpie">
    <w:name w:val="footnote reference"/>
    <w:basedOn w:val="Fuentedeprrafopredeter"/>
    <w:uiPriority w:val="99"/>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styleId="Revisin">
    <w:name w:val="Revision"/>
    <w:hidden/>
    <w:uiPriority w:val="99"/>
    <w:semiHidden/>
    <w:rsid w:val="00C93947"/>
    <w:pPr>
      <w:spacing w:after="0" w:line="240" w:lineRule="auto"/>
    </w:pPr>
  </w:style>
  <w:style w:type="character" w:styleId="Textoennegrita">
    <w:name w:val="Strong"/>
    <w:basedOn w:val="Fuentedeprrafopredeter"/>
    <w:uiPriority w:val="22"/>
    <w:qFormat/>
    <w:rsid w:val="00C5003A"/>
    <w:rPr>
      <w:b/>
      <w:bCs/>
    </w:rPr>
  </w:style>
  <w:style w:type="character" w:styleId="Hipervnculo">
    <w:name w:val="Hyperlink"/>
    <w:basedOn w:val="Fuentedeprrafopredeter"/>
    <w:uiPriority w:val="99"/>
    <w:semiHidden/>
    <w:unhideWhenUsed/>
    <w:rsid w:val="00AC7E18"/>
    <w:rPr>
      <w:color w:val="0000FF"/>
      <w:u w:val="single"/>
    </w:rPr>
  </w:style>
  <w:style w:type="paragraph" w:customStyle="1" w:styleId="Prrafodelista1">
    <w:name w:val="Párrafo de lista1"/>
    <w:basedOn w:val="Normal"/>
    <w:rsid w:val="00473DDB"/>
    <w:pPr>
      <w:spacing w:after="0" w:line="240" w:lineRule="auto"/>
      <w:ind w:left="708"/>
    </w:pPr>
    <w:rPr>
      <w:rFonts w:ascii="Tahoma" w:eastAsia="Times New Roman" w:hAnsi="Tahoma"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523">
      <w:bodyDiv w:val="1"/>
      <w:marLeft w:val="0"/>
      <w:marRight w:val="0"/>
      <w:marTop w:val="0"/>
      <w:marBottom w:val="0"/>
      <w:divBdr>
        <w:top w:val="none" w:sz="0" w:space="0" w:color="auto"/>
        <w:left w:val="none" w:sz="0" w:space="0" w:color="auto"/>
        <w:bottom w:val="none" w:sz="0" w:space="0" w:color="auto"/>
        <w:right w:val="none" w:sz="0" w:space="0" w:color="auto"/>
      </w:divBdr>
    </w:div>
    <w:div w:id="44843194">
      <w:bodyDiv w:val="1"/>
      <w:marLeft w:val="0"/>
      <w:marRight w:val="0"/>
      <w:marTop w:val="0"/>
      <w:marBottom w:val="0"/>
      <w:divBdr>
        <w:top w:val="none" w:sz="0" w:space="0" w:color="auto"/>
        <w:left w:val="none" w:sz="0" w:space="0" w:color="auto"/>
        <w:bottom w:val="none" w:sz="0" w:space="0" w:color="auto"/>
        <w:right w:val="none" w:sz="0" w:space="0" w:color="auto"/>
      </w:divBdr>
    </w:div>
    <w:div w:id="184709534">
      <w:bodyDiv w:val="1"/>
      <w:marLeft w:val="0"/>
      <w:marRight w:val="0"/>
      <w:marTop w:val="0"/>
      <w:marBottom w:val="0"/>
      <w:divBdr>
        <w:top w:val="none" w:sz="0" w:space="0" w:color="auto"/>
        <w:left w:val="none" w:sz="0" w:space="0" w:color="auto"/>
        <w:bottom w:val="none" w:sz="0" w:space="0" w:color="auto"/>
        <w:right w:val="none" w:sz="0" w:space="0" w:color="auto"/>
      </w:divBdr>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330909446">
      <w:bodyDiv w:val="1"/>
      <w:marLeft w:val="0"/>
      <w:marRight w:val="0"/>
      <w:marTop w:val="0"/>
      <w:marBottom w:val="0"/>
      <w:divBdr>
        <w:top w:val="none" w:sz="0" w:space="0" w:color="auto"/>
        <w:left w:val="none" w:sz="0" w:space="0" w:color="auto"/>
        <w:bottom w:val="none" w:sz="0" w:space="0" w:color="auto"/>
        <w:right w:val="none" w:sz="0" w:space="0" w:color="auto"/>
      </w:divBdr>
    </w:div>
    <w:div w:id="358629878">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458113948">
      <w:bodyDiv w:val="1"/>
      <w:marLeft w:val="0"/>
      <w:marRight w:val="0"/>
      <w:marTop w:val="0"/>
      <w:marBottom w:val="0"/>
      <w:divBdr>
        <w:top w:val="none" w:sz="0" w:space="0" w:color="auto"/>
        <w:left w:val="none" w:sz="0" w:space="0" w:color="auto"/>
        <w:bottom w:val="none" w:sz="0" w:space="0" w:color="auto"/>
        <w:right w:val="none" w:sz="0" w:space="0" w:color="auto"/>
      </w:divBdr>
    </w:div>
    <w:div w:id="579683592">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765610278">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918711896">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092553514">
      <w:bodyDiv w:val="1"/>
      <w:marLeft w:val="0"/>
      <w:marRight w:val="0"/>
      <w:marTop w:val="0"/>
      <w:marBottom w:val="0"/>
      <w:divBdr>
        <w:top w:val="none" w:sz="0" w:space="0" w:color="auto"/>
        <w:left w:val="none" w:sz="0" w:space="0" w:color="auto"/>
        <w:bottom w:val="none" w:sz="0" w:space="0" w:color="auto"/>
        <w:right w:val="none" w:sz="0" w:space="0" w:color="auto"/>
      </w:divBdr>
    </w:div>
    <w:div w:id="1190490660">
      <w:bodyDiv w:val="1"/>
      <w:marLeft w:val="0"/>
      <w:marRight w:val="0"/>
      <w:marTop w:val="0"/>
      <w:marBottom w:val="0"/>
      <w:divBdr>
        <w:top w:val="none" w:sz="0" w:space="0" w:color="auto"/>
        <w:left w:val="none" w:sz="0" w:space="0" w:color="auto"/>
        <w:bottom w:val="none" w:sz="0" w:space="0" w:color="auto"/>
        <w:right w:val="none" w:sz="0" w:space="0" w:color="auto"/>
      </w:divBdr>
      <w:divsChild>
        <w:div w:id="1055618761">
          <w:marLeft w:val="0"/>
          <w:marRight w:val="0"/>
          <w:marTop w:val="0"/>
          <w:marBottom w:val="0"/>
          <w:divBdr>
            <w:top w:val="none" w:sz="0" w:space="0" w:color="auto"/>
            <w:left w:val="none" w:sz="0" w:space="0" w:color="auto"/>
            <w:bottom w:val="none" w:sz="0" w:space="0" w:color="auto"/>
            <w:right w:val="none" w:sz="0" w:space="0" w:color="auto"/>
          </w:divBdr>
          <w:divsChild>
            <w:div w:id="628055205">
              <w:marLeft w:val="0"/>
              <w:marRight w:val="0"/>
              <w:marTop w:val="0"/>
              <w:marBottom w:val="0"/>
              <w:divBdr>
                <w:top w:val="none" w:sz="0" w:space="0" w:color="auto"/>
                <w:left w:val="none" w:sz="0" w:space="0" w:color="auto"/>
                <w:bottom w:val="none" w:sz="0" w:space="0" w:color="auto"/>
                <w:right w:val="none" w:sz="0" w:space="0" w:color="auto"/>
              </w:divBdr>
              <w:divsChild>
                <w:div w:id="777412359">
                  <w:marLeft w:val="0"/>
                  <w:marRight w:val="0"/>
                  <w:marTop w:val="0"/>
                  <w:marBottom w:val="0"/>
                  <w:divBdr>
                    <w:top w:val="none" w:sz="0" w:space="0" w:color="auto"/>
                    <w:left w:val="none" w:sz="0" w:space="0" w:color="auto"/>
                    <w:bottom w:val="none" w:sz="0" w:space="0" w:color="auto"/>
                    <w:right w:val="none" w:sz="0" w:space="0" w:color="auto"/>
                  </w:divBdr>
                  <w:divsChild>
                    <w:div w:id="185677278">
                      <w:marLeft w:val="0"/>
                      <w:marRight w:val="0"/>
                      <w:marTop w:val="0"/>
                      <w:marBottom w:val="0"/>
                      <w:divBdr>
                        <w:top w:val="none" w:sz="0" w:space="0" w:color="auto"/>
                        <w:left w:val="none" w:sz="0" w:space="0" w:color="auto"/>
                        <w:bottom w:val="none" w:sz="0" w:space="0" w:color="auto"/>
                        <w:right w:val="none" w:sz="0" w:space="0" w:color="auto"/>
                      </w:divBdr>
                      <w:divsChild>
                        <w:div w:id="325061226">
                          <w:marLeft w:val="0"/>
                          <w:marRight w:val="0"/>
                          <w:marTop w:val="0"/>
                          <w:marBottom w:val="0"/>
                          <w:divBdr>
                            <w:top w:val="none" w:sz="0" w:space="0" w:color="auto"/>
                            <w:left w:val="none" w:sz="0" w:space="0" w:color="auto"/>
                            <w:bottom w:val="none" w:sz="0" w:space="0" w:color="auto"/>
                            <w:right w:val="none" w:sz="0" w:space="0" w:color="auto"/>
                          </w:divBdr>
                          <w:divsChild>
                            <w:div w:id="1752972730">
                              <w:marLeft w:val="0"/>
                              <w:marRight w:val="0"/>
                              <w:marTop w:val="0"/>
                              <w:marBottom w:val="0"/>
                              <w:divBdr>
                                <w:top w:val="none" w:sz="0" w:space="0" w:color="auto"/>
                                <w:left w:val="none" w:sz="0" w:space="0" w:color="auto"/>
                                <w:bottom w:val="none" w:sz="0" w:space="0" w:color="auto"/>
                                <w:right w:val="none" w:sz="0" w:space="0" w:color="auto"/>
                              </w:divBdr>
                              <w:divsChild>
                                <w:div w:id="1502546143">
                                  <w:marLeft w:val="0"/>
                                  <w:marRight w:val="0"/>
                                  <w:marTop w:val="0"/>
                                  <w:marBottom w:val="0"/>
                                  <w:divBdr>
                                    <w:top w:val="none" w:sz="0" w:space="0" w:color="auto"/>
                                    <w:left w:val="none" w:sz="0" w:space="0" w:color="auto"/>
                                    <w:bottom w:val="none" w:sz="0" w:space="0" w:color="auto"/>
                                    <w:right w:val="none" w:sz="0" w:space="0" w:color="auto"/>
                                  </w:divBdr>
                                  <w:divsChild>
                                    <w:div w:id="1559441824">
                                      <w:marLeft w:val="0"/>
                                      <w:marRight w:val="0"/>
                                      <w:marTop w:val="0"/>
                                      <w:marBottom w:val="0"/>
                                      <w:divBdr>
                                        <w:top w:val="none" w:sz="0" w:space="0" w:color="auto"/>
                                        <w:left w:val="none" w:sz="0" w:space="0" w:color="auto"/>
                                        <w:bottom w:val="none" w:sz="0" w:space="0" w:color="auto"/>
                                        <w:right w:val="none" w:sz="0" w:space="0" w:color="auto"/>
                                      </w:divBdr>
                                      <w:divsChild>
                                        <w:div w:id="9733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150488">
          <w:marLeft w:val="0"/>
          <w:marRight w:val="0"/>
          <w:marTop w:val="0"/>
          <w:marBottom w:val="0"/>
          <w:divBdr>
            <w:top w:val="none" w:sz="0" w:space="0" w:color="auto"/>
            <w:left w:val="none" w:sz="0" w:space="0" w:color="auto"/>
            <w:bottom w:val="none" w:sz="0" w:space="0" w:color="auto"/>
            <w:right w:val="none" w:sz="0" w:space="0" w:color="auto"/>
          </w:divBdr>
          <w:divsChild>
            <w:div w:id="1366099960">
              <w:marLeft w:val="0"/>
              <w:marRight w:val="0"/>
              <w:marTop w:val="0"/>
              <w:marBottom w:val="0"/>
              <w:divBdr>
                <w:top w:val="none" w:sz="0" w:space="0" w:color="auto"/>
                <w:left w:val="none" w:sz="0" w:space="0" w:color="auto"/>
                <w:bottom w:val="none" w:sz="0" w:space="0" w:color="auto"/>
                <w:right w:val="none" w:sz="0" w:space="0" w:color="auto"/>
              </w:divBdr>
              <w:divsChild>
                <w:div w:id="243224093">
                  <w:marLeft w:val="0"/>
                  <w:marRight w:val="0"/>
                  <w:marTop w:val="0"/>
                  <w:marBottom w:val="0"/>
                  <w:divBdr>
                    <w:top w:val="none" w:sz="0" w:space="0" w:color="auto"/>
                    <w:left w:val="none" w:sz="0" w:space="0" w:color="auto"/>
                    <w:bottom w:val="none" w:sz="0" w:space="0" w:color="auto"/>
                    <w:right w:val="none" w:sz="0" w:space="0" w:color="auto"/>
                  </w:divBdr>
                  <w:divsChild>
                    <w:div w:id="1630474899">
                      <w:marLeft w:val="0"/>
                      <w:marRight w:val="0"/>
                      <w:marTop w:val="0"/>
                      <w:marBottom w:val="0"/>
                      <w:divBdr>
                        <w:top w:val="none" w:sz="0" w:space="0" w:color="auto"/>
                        <w:left w:val="none" w:sz="0" w:space="0" w:color="auto"/>
                        <w:bottom w:val="none" w:sz="0" w:space="0" w:color="auto"/>
                        <w:right w:val="none" w:sz="0" w:space="0" w:color="auto"/>
                      </w:divBdr>
                      <w:divsChild>
                        <w:div w:id="925188503">
                          <w:marLeft w:val="0"/>
                          <w:marRight w:val="0"/>
                          <w:marTop w:val="0"/>
                          <w:marBottom w:val="0"/>
                          <w:divBdr>
                            <w:top w:val="none" w:sz="0" w:space="0" w:color="auto"/>
                            <w:left w:val="none" w:sz="0" w:space="0" w:color="auto"/>
                            <w:bottom w:val="none" w:sz="0" w:space="0" w:color="auto"/>
                            <w:right w:val="none" w:sz="0" w:space="0" w:color="auto"/>
                          </w:divBdr>
                          <w:divsChild>
                            <w:div w:id="809908313">
                              <w:marLeft w:val="0"/>
                              <w:marRight w:val="0"/>
                              <w:marTop w:val="0"/>
                              <w:marBottom w:val="0"/>
                              <w:divBdr>
                                <w:top w:val="none" w:sz="0" w:space="0" w:color="auto"/>
                                <w:left w:val="none" w:sz="0" w:space="0" w:color="auto"/>
                                <w:bottom w:val="none" w:sz="0" w:space="0" w:color="auto"/>
                                <w:right w:val="none" w:sz="0" w:space="0" w:color="auto"/>
                              </w:divBdr>
                              <w:divsChild>
                                <w:div w:id="1463108073">
                                  <w:marLeft w:val="0"/>
                                  <w:marRight w:val="0"/>
                                  <w:marTop w:val="0"/>
                                  <w:marBottom w:val="0"/>
                                  <w:divBdr>
                                    <w:top w:val="none" w:sz="0" w:space="0" w:color="auto"/>
                                    <w:left w:val="none" w:sz="0" w:space="0" w:color="auto"/>
                                    <w:bottom w:val="none" w:sz="0" w:space="0" w:color="auto"/>
                                    <w:right w:val="none" w:sz="0" w:space="0" w:color="auto"/>
                                  </w:divBdr>
                                  <w:divsChild>
                                    <w:div w:id="1308784577">
                                      <w:marLeft w:val="0"/>
                                      <w:marRight w:val="0"/>
                                      <w:marTop w:val="0"/>
                                      <w:marBottom w:val="0"/>
                                      <w:divBdr>
                                        <w:top w:val="none" w:sz="0" w:space="0" w:color="auto"/>
                                        <w:left w:val="none" w:sz="0" w:space="0" w:color="auto"/>
                                        <w:bottom w:val="none" w:sz="0" w:space="0" w:color="auto"/>
                                        <w:right w:val="none" w:sz="0" w:space="0" w:color="auto"/>
                                      </w:divBdr>
                                      <w:divsChild>
                                        <w:div w:id="1498615384">
                                          <w:marLeft w:val="0"/>
                                          <w:marRight w:val="0"/>
                                          <w:marTop w:val="0"/>
                                          <w:marBottom w:val="0"/>
                                          <w:divBdr>
                                            <w:top w:val="none" w:sz="0" w:space="0" w:color="auto"/>
                                            <w:left w:val="none" w:sz="0" w:space="0" w:color="auto"/>
                                            <w:bottom w:val="none" w:sz="0" w:space="0" w:color="auto"/>
                                            <w:right w:val="none" w:sz="0" w:space="0" w:color="auto"/>
                                          </w:divBdr>
                                          <w:divsChild>
                                            <w:div w:id="663238630">
                                              <w:marLeft w:val="0"/>
                                              <w:marRight w:val="0"/>
                                              <w:marTop w:val="0"/>
                                              <w:marBottom w:val="0"/>
                                              <w:divBdr>
                                                <w:top w:val="none" w:sz="0" w:space="0" w:color="auto"/>
                                                <w:left w:val="none" w:sz="0" w:space="0" w:color="auto"/>
                                                <w:bottom w:val="none" w:sz="0" w:space="0" w:color="auto"/>
                                                <w:right w:val="none" w:sz="0" w:space="0" w:color="auto"/>
                                              </w:divBdr>
                                              <w:divsChild>
                                                <w:div w:id="967053648">
                                                  <w:marLeft w:val="0"/>
                                                  <w:marRight w:val="0"/>
                                                  <w:marTop w:val="0"/>
                                                  <w:marBottom w:val="0"/>
                                                  <w:divBdr>
                                                    <w:top w:val="single" w:sz="8" w:space="3" w:color="E1E1E1"/>
                                                    <w:left w:val="none" w:sz="0" w:space="0" w:color="auto"/>
                                                    <w:bottom w:val="none" w:sz="0" w:space="0" w:color="auto"/>
                                                    <w:right w:val="none" w:sz="0" w:space="0" w:color="auto"/>
                                                  </w:divBdr>
                                                </w:div>
                                              </w:divsChild>
                                            </w:div>
                                            <w:div w:id="14351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628972101">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710687941">
      <w:bodyDiv w:val="1"/>
      <w:marLeft w:val="0"/>
      <w:marRight w:val="0"/>
      <w:marTop w:val="0"/>
      <w:marBottom w:val="0"/>
      <w:divBdr>
        <w:top w:val="none" w:sz="0" w:space="0" w:color="auto"/>
        <w:left w:val="none" w:sz="0" w:space="0" w:color="auto"/>
        <w:bottom w:val="none" w:sz="0" w:space="0" w:color="auto"/>
        <w:right w:val="none" w:sz="0" w:space="0" w:color="auto"/>
      </w:divBdr>
    </w:div>
    <w:div w:id="1735854231">
      <w:bodyDiv w:val="1"/>
      <w:marLeft w:val="0"/>
      <w:marRight w:val="0"/>
      <w:marTop w:val="0"/>
      <w:marBottom w:val="0"/>
      <w:divBdr>
        <w:top w:val="none" w:sz="0" w:space="0" w:color="auto"/>
        <w:left w:val="none" w:sz="0" w:space="0" w:color="auto"/>
        <w:bottom w:val="none" w:sz="0" w:space="0" w:color="auto"/>
        <w:right w:val="none" w:sz="0" w:space="0" w:color="auto"/>
      </w:divBdr>
    </w:div>
    <w:div w:id="1792046057">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6A7F528BCE841AB88EFFBEF26739B" ma:contentTypeVersion="11" ma:contentTypeDescription="Create a new document." ma:contentTypeScope="" ma:versionID="d45f64c8d90eccbfa4f277a6c229d1f8">
  <xsd:schema xmlns:xsd="http://www.w3.org/2001/XMLSchema" xmlns:xs="http://www.w3.org/2001/XMLSchema" xmlns:p="http://schemas.microsoft.com/office/2006/metadata/properties" xmlns:ns3="7bd1cce9-655d-4a1a-a84a-42414c51de61" xmlns:ns4="52671c86-f284-4557-8b9d-44f90aa8646e" targetNamespace="http://schemas.microsoft.com/office/2006/metadata/properties" ma:root="true" ma:fieldsID="af512bd776074b9e7ac389b967a9b7f9" ns3:_="" ns4:_="">
    <xsd:import namespace="7bd1cce9-655d-4a1a-a84a-42414c51de61"/>
    <xsd:import namespace="52671c86-f284-4557-8b9d-44f90aa86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1cce9-655d-4a1a-a84a-42414c51de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71c86-f284-4557-8b9d-44f90aa864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3A4C-3EC9-4F6B-86DE-3E3A66E57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1cce9-655d-4a1a-a84a-42414c51de61"/>
    <ds:schemaRef ds:uri="52671c86-f284-4557-8b9d-44f90aa86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B3274-8168-41FF-BAF8-83F1094E0D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F25E56-0CA4-4BA1-9CF1-BA5B81B5F4A7}">
  <ds:schemaRefs>
    <ds:schemaRef ds:uri="http://schemas.microsoft.com/sharepoint/v3/contenttype/forms"/>
  </ds:schemaRefs>
</ds:datastoreItem>
</file>

<file path=customXml/itemProps4.xml><?xml version="1.0" encoding="utf-8"?>
<ds:datastoreItem xmlns:ds="http://schemas.openxmlformats.org/officeDocument/2006/customXml" ds:itemID="{2BC96DCF-A1B4-40D0-B1AE-4E4350C8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3202</Words>
  <Characters>17614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Andrea Garcia Guerrero</dc:creator>
  <cp:lastModifiedBy>Sofy Lorena Arenas Vera</cp:lastModifiedBy>
  <cp:revision>9</cp:revision>
  <cp:lastPrinted>2019-12-19T21:45:00Z</cp:lastPrinted>
  <dcterms:created xsi:type="dcterms:W3CDTF">2019-12-26T15:48:00Z</dcterms:created>
  <dcterms:modified xsi:type="dcterms:W3CDTF">2019-12-26T19:22:00Z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0x010100F016A7F528BCE841AB88EFFBEF26739B</vt:lpwstr>
  </property>
</Properties>
</file>