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3D6FF" w14:textId="77777777" w:rsidR="00013E1B" w:rsidRPr="00896570" w:rsidRDefault="00927EF8" w:rsidP="005463FE">
      <w:pPr>
        <w:pStyle w:val="Prrafodelista"/>
        <w:numPr>
          <w:ilvl w:val="0"/>
          <w:numId w:val="11"/>
        </w:numPr>
        <w:spacing w:after="0" w:line="240" w:lineRule="auto"/>
        <w:jc w:val="both"/>
        <w:rPr>
          <w:rFonts w:ascii="Arial" w:hAnsi="Arial" w:cs="Arial"/>
        </w:rPr>
      </w:pPr>
      <w:r w:rsidRPr="003B3D4C">
        <w:rPr>
          <w:rFonts w:ascii="Arial" w:hAnsi="Arial" w:cs="Arial"/>
        </w:rPr>
        <w:t>Objetivo</w:t>
      </w:r>
    </w:p>
    <w:p w14:paraId="35BBED33" w14:textId="77777777" w:rsidR="00927EF8" w:rsidRPr="00896570" w:rsidRDefault="00927EF8" w:rsidP="005463FE">
      <w:pPr>
        <w:spacing w:after="0" w:line="240" w:lineRule="auto"/>
        <w:jc w:val="both"/>
        <w:rPr>
          <w:rFonts w:ascii="Arial" w:hAnsi="Arial" w:cs="Arial"/>
        </w:rPr>
      </w:pPr>
    </w:p>
    <w:p w14:paraId="05877B0C" w14:textId="7A305CE6" w:rsidR="00EA186D" w:rsidRPr="00896570" w:rsidRDefault="00EA186D" w:rsidP="00EA186D">
      <w:pPr>
        <w:jc w:val="both"/>
        <w:rPr>
          <w:rFonts w:ascii="Arial" w:hAnsi="Arial" w:cs="Arial"/>
          <w:lang w:val="es-ES"/>
        </w:rPr>
      </w:pPr>
      <w:r w:rsidRPr="00896570">
        <w:rPr>
          <w:rFonts w:ascii="Arial" w:hAnsi="Arial" w:cs="Arial"/>
          <w:lang w:val="es-ES"/>
        </w:rPr>
        <w:t xml:space="preserve">Dar acceso a </w:t>
      </w:r>
      <w:r w:rsidR="00896570" w:rsidRPr="00896570">
        <w:rPr>
          <w:rFonts w:ascii="Arial" w:hAnsi="Arial" w:cs="Arial"/>
          <w:lang w:val="es-ES"/>
        </w:rPr>
        <w:t>trece</w:t>
      </w:r>
      <w:r w:rsidR="00DB216E">
        <w:rPr>
          <w:rFonts w:ascii="Arial" w:hAnsi="Arial" w:cs="Arial"/>
          <w:lang w:val="es-ES"/>
        </w:rPr>
        <w:t xml:space="preserve"> </w:t>
      </w:r>
      <w:r w:rsidRPr="00896570">
        <w:rPr>
          <w:rFonts w:ascii="Arial" w:hAnsi="Arial" w:cs="Arial"/>
          <w:lang w:val="es-ES"/>
        </w:rPr>
        <w:t>servicios sociales</w:t>
      </w:r>
      <w:r w:rsidRPr="00896570">
        <w:rPr>
          <w:rStyle w:val="Refdenotaalpie"/>
          <w:rFonts w:ascii="Arial" w:hAnsi="Arial" w:cs="Arial"/>
          <w:lang w:val="es-ES"/>
        </w:rPr>
        <w:footnoteReference w:id="1"/>
      </w:r>
      <w:r w:rsidRPr="00896570">
        <w:rPr>
          <w:rFonts w:ascii="Arial" w:hAnsi="Arial" w:cs="Arial"/>
          <w:lang w:val="es-ES"/>
        </w:rPr>
        <w:t xml:space="preserve"> prestados por la </w:t>
      </w:r>
      <w:r w:rsidR="00EC26A0">
        <w:rPr>
          <w:rFonts w:ascii="Arial" w:hAnsi="Arial" w:cs="Arial"/>
          <w:lang w:val="es-ES"/>
        </w:rPr>
        <w:t>Secretaria Distrital de Integración Social</w:t>
      </w:r>
      <w:r w:rsidRPr="00896570">
        <w:rPr>
          <w:rFonts w:ascii="Arial" w:hAnsi="Arial" w:cs="Arial"/>
          <w:lang w:val="es-ES"/>
        </w:rPr>
        <w:t xml:space="preserve"> en búsqueda de la inclusión social de las personas más vulnerables del Distrito Capital. Para dicho acceso, se debe cumplir con los criterios de ingreso definidos para cada servicio en el marco de los derechos, la corresponsabilidad ciudadana y de la transparenc</w:t>
      </w:r>
      <w:r w:rsidR="00083609">
        <w:rPr>
          <w:rFonts w:ascii="Arial" w:hAnsi="Arial" w:cs="Arial"/>
          <w:lang w:val="es-ES"/>
        </w:rPr>
        <w:t>ia en la gestión institucional.</w:t>
      </w:r>
    </w:p>
    <w:p w14:paraId="398833B5" w14:textId="77777777" w:rsidR="00EA186D" w:rsidRPr="00896570" w:rsidRDefault="00EA186D" w:rsidP="005463FE">
      <w:pPr>
        <w:spacing w:after="0" w:line="240" w:lineRule="auto"/>
        <w:jc w:val="both"/>
        <w:rPr>
          <w:rFonts w:ascii="Arial" w:hAnsi="Arial" w:cs="Arial"/>
        </w:rPr>
      </w:pPr>
    </w:p>
    <w:p w14:paraId="39347102" w14:textId="77777777" w:rsidR="00927EF8" w:rsidRPr="00896570" w:rsidRDefault="00927EF8" w:rsidP="005463FE">
      <w:pPr>
        <w:pStyle w:val="Prrafodelista"/>
        <w:numPr>
          <w:ilvl w:val="0"/>
          <w:numId w:val="11"/>
        </w:numPr>
        <w:spacing w:after="0" w:line="240" w:lineRule="auto"/>
        <w:jc w:val="both"/>
        <w:rPr>
          <w:rFonts w:ascii="Arial" w:hAnsi="Arial" w:cs="Arial"/>
        </w:rPr>
      </w:pPr>
      <w:r w:rsidRPr="00896570">
        <w:rPr>
          <w:rFonts w:ascii="Arial" w:hAnsi="Arial" w:cs="Arial"/>
        </w:rPr>
        <w:t>Glosario</w:t>
      </w:r>
    </w:p>
    <w:p w14:paraId="2BE033CB" w14:textId="77777777" w:rsidR="000867D1" w:rsidRPr="00896570" w:rsidRDefault="000867D1" w:rsidP="005463FE">
      <w:pPr>
        <w:pStyle w:val="Sangradetextonormal"/>
        <w:ind w:left="0" w:right="-29"/>
        <w:rPr>
          <w:rFonts w:ascii="Arial" w:hAnsi="Arial" w:cs="Arial"/>
          <w:color w:val="auto"/>
          <w:szCs w:val="22"/>
        </w:rPr>
      </w:pPr>
    </w:p>
    <w:p w14:paraId="532FB2F5" w14:textId="77777777" w:rsidR="00D41DE2" w:rsidRPr="00896570" w:rsidRDefault="00EA186D" w:rsidP="00D41DE2">
      <w:pPr>
        <w:spacing w:after="0" w:line="240" w:lineRule="auto"/>
        <w:jc w:val="both"/>
        <w:rPr>
          <w:rFonts w:ascii="Arial" w:eastAsia="Calibri" w:hAnsi="Arial" w:cs="Arial"/>
        </w:rPr>
      </w:pPr>
      <w:r w:rsidRPr="00896570">
        <w:rPr>
          <w:rFonts w:ascii="Arial" w:hAnsi="Arial" w:cs="Arial"/>
          <w:lang w:val="es-ES"/>
        </w:rPr>
        <w:t>Comité técnico para excepcionalidad</w:t>
      </w:r>
      <w:r w:rsidR="00D41DE2" w:rsidRPr="00896570">
        <w:rPr>
          <w:rFonts w:ascii="Arial" w:hAnsi="Arial" w:cs="Arial"/>
          <w:lang w:val="es-ES"/>
        </w:rPr>
        <w:t>:</w:t>
      </w:r>
      <w:r w:rsidR="003B3D4C" w:rsidRPr="00896570">
        <w:rPr>
          <w:rFonts w:ascii="Arial" w:hAnsi="Arial" w:cs="Arial"/>
          <w:lang w:val="es-ES"/>
        </w:rPr>
        <w:t xml:space="preserve"> </w:t>
      </w:r>
      <w:r w:rsidR="00D41DE2" w:rsidRPr="00896570">
        <w:rPr>
          <w:rFonts w:ascii="Arial" w:eastAsia="Calibri" w:hAnsi="Arial" w:cs="Arial"/>
        </w:rPr>
        <w:t>hace parte del Consejo para la Gestión Integral Social – instancia de coordinación de la Secretaría Distrital de Integración Social, reglamentado mediante la Resolución N° 0885 del 1 de junio de 2017</w:t>
      </w:r>
      <w:r w:rsidR="00D41DE2" w:rsidRPr="00896570">
        <w:rPr>
          <w:vertAlign w:val="superscript"/>
        </w:rPr>
        <w:footnoteReference w:id="2"/>
      </w:r>
      <w:r w:rsidR="00D41DE2" w:rsidRPr="00896570">
        <w:rPr>
          <w:rFonts w:ascii="Arial" w:eastAsia="Calibri" w:hAnsi="Arial" w:cs="Arial"/>
        </w:rPr>
        <w:t xml:space="preserve">. </w:t>
      </w:r>
    </w:p>
    <w:p w14:paraId="67F15464" w14:textId="77777777" w:rsidR="00D41DE2" w:rsidRPr="00896570" w:rsidRDefault="00D41DE2" w:rsidP="00D41DE2">
      <w:pPr>
        <w:spacing w:after="0" w:line="240" w:lineRule="auto"/>
        <w:jc w:val="both"/>
        <w:rPr>
          <w:rFonts w:ascii="Arial" w:eastAsia="Calibri" w:hAnsi="Arial" w:cs="Arial"/>
        </w:rPr>
      </w:pPr>
    </w:p>
    <w:p w14:paraId="303F760B" w14:textId="52AC9A2B" w:rsidR="00D41DE2" w:rsidRPr="00896570" w:rsidRDefault="00CA694E" w:rsidP="00D41DE2">
      <w:pPr>
        <w:spacing w:after="0" w:line="240" w:lineRule="auto"/>
        <w:jc w:val="both"/>
        <w:rPr>
          <w:rFonts w:ascii="Arial" w:eastAsia="Calibri" w:hAnsi="Arial" w:cs="Arial"/>
          <w:lang w:val="es-MX"/>
        </w:rPr>
      </w:pPr>
      <w:r>
        <w:rPr>
          <w:rFonts w:ascii="Arial" w:eastAsia="Calibri" w:hAnsi="Arial" w:cs="Arial"/>
          <w:lang w:val="es-MX"/>
        </w:rPr>
        <w:t>C</w:t>
      </w:r>
      <w:r w:rsidR="00D41DE2" w:rsidRPr="00896570">
        <w:rPr>
          <w:rFonts w:ascii="Arial" w:eastAsia="Calibri" w:hAnsi="Arial" w:cs="Arial"/>
          <w:lang w:val="es-MX"/>
        </w:rPr>
        <w:t>asos excepcionales: son aquellas circunstancias de índole fáctica que superan los criterios establecidos para permanecer o ser beneficiario de</w:t>
      </w:r>
      <w:r w:rsidR="003B3D4C" w:rsidRPr="00896570">
        <w:rPr>
          <w:rFonts w:ascii="Arial" w:eastAsia="Calibri" w:hAnsi="Arial" w:cs="Arial"/>
          <w:lang w:val="es-MX"/>
        </w:rPr>
        <w:t xml:space="preserve"> </w:t>
      </w:r>
      <w:r w:rsidR="00D41DE2" w:rsidRPr="00896570">
        <w:rPr>
          <w:rFonts w:ascii="Arial" w:eastAsia="Calibri" w:hAnsi="Arial" w:cs="Arial"/>
          <w:bCs/>
          <w:lang w:val="es-ES"/>
        </w:rPr>
        <w:t>los servicios</w:t>
      </w:r>
      <w:r w:rsidR="00D41DE2" w:rsidRPr="00896570">
        <w:rPr>
          <w:rFonts w:ascii="Arial" w:eastAsia="Calibri" w:hAnsi="Arial" w:cs="Arial"/>
          <w:lang w:val="es-MX"/>
        </w:rPr>
        <w:t xml:space="preserve"> sociales de la Secretaría</w:t>
      </w:r>
      <w:r w:rsidR="00D41DE2" w:rsidRPr="00896570">
        <w:rPr>
          <w:vertAlign w:val="superscript"/>
          <w:lang w:val="es-MX"/>
        </w:rPr>
        <w:footnoteReference w:id="3"/>
      </w:r>
      <w:r w:rsidR="00D41DE2" w:rsidRPr="00896570">
        <w:rPr>
          <w:rFonts w:ascii="Arial" w:eastAsia="Calibri" w:hAnsi="Arial" w:cs="Arial"/>
          <w:lang w:val="es-MX"/>
        </w:rPr>
        <w:t>.</w:t>
      </w:r>
    </w:p>
    <w:p w14:paraId="588AF6F6" w14:textId="77777777" w:rsidR="003B3D4C" w:rsidRPr="00896570" w:rsidRDefault="003B3D4C" w:rsidP="00D41DE2">
      <w:pPr>
        <w:pStyle w:val="Sangradetextonormal"/>
        <w:ind w:left="0" w:right="-29"/>
        <w:rPr>
          <w:rFonts w:ascii="Arial" w:eastAsiaTheme="minorHAnsi" w:hAnsi="Arial" w:cs="Arial"/>
          <w:i/>
          <w:color w:val="4472C4" w:themeColor="accent5"/>
          <w:szCs w:val="22"/>
          <w:lang w:val="es-CO" w:eastAsia="en-US"/>
        </w:rPr>
      </w:pPr>
    </w:p>
    <w:p w14:paraId="663121DE" w14:textId="77777777" w:rsidR="00927EF8" w:rsidRPr="00896570" w:rsidRDefault="00927EF8" w:rsidP="005463FE">
      <w:pPr>
        <w:pStyle w:val="Prrafodelista"/>
        <w:numPr>
          <w:ilvl w:val="0"/>
          <w:numId w:val="11"/>
        </w:numPr>
        <w:spacing w:after="0" w:line="240" w:lineRule="auto"/>
        <w:jc w:val="both"/>
        <w:rPr>
          <w:rFonts w:ascii="Arial" w:hAnsi="Arial" w:cs="Arial"/>
        </w:rPr>
      </w:pPr>
      <w:r w:rsidRPr="00896570">
        <w:rPr>
          <w:rFonts w:ascii="Arial" w:hAnsi="Arial" w:cs="Arial"/>
        </w:rPr>
        <w:t>Condiciones generales</w:t>
      </w:r>
    </w:p>
    <w:p w14:paraId="05ED2E13" w14:textId="77777777" w:rsidR="00927EF8" w:rsidRPr="00896570" w:rsidRDefault="00927EF8" w:rsidP="005463FE">
      <w:pPr>
        <w:spacing w:after="0" w:line="240" w:lineRule="auto"/>
        <w:jc w:val="both"/>
        <w:rPr>
          <w:rFonts w:ascii="Arial" w:hAnsi="Arial" w:cs="Arial"/>
        </w:rPr>
      </w:pPr>
    </w:p>
    <w:p w14:paraId="770D3C02" w14:textId="77777777" w:rsidR="00F3467B" w:rsidRPr="00896570" w:rsidRDefault="00F3467B" w:rsidP="00A40D2B">
      <w:pPr>
        <w:pStyle w:val="Prrafodelista"/>
        <w:numPr>
          <w:ilvl w:val="0"/>
          <w:numId w:val="19"/>
        </w:numPr>
        <w:autoSpaceDE w:val="0"/>
        <w:autoSpaceDN w:val="0"/>
        <w:adjustRightInd w:val="0"/>
        <w:spacing w:after="0" w:line="240" w:lineRule="auto"/>
        <w:ind w:left="426"/>
        <w:jc w:val="both"/>
        <w:rPr>
          <w:rFonts w:ascii="Arial" w:hAnsi="Arial" w:cs="Arial"/>
          <w:lang w:val="es-ES" w:eastAsia="es-ES"/>
        </w:rPr>
      </w:pPr>
      <w:r w:rsidRPr="00896570">
        <w:rPr>
          <w:rFonts w:ascii="Arial" w:hAnsi="Arial" w:cs="Arial"/>
          <w:lang w:val="es-ES" w:eastAsia="es-ES"/>
        </w:rPr>
        <w:t>Este procedimiento es aplicable a los siguientes servicios sociales:</w:t>
      </w:r>
    </w:p>
    <w:p w14:paraId="51C3FFE7" w14:textId="7F3EC6FB" w:rsidR="00AA15A4" w:rsidRPr="00896570" w:rsidRDefault="00260F52"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hAnsi="Arial" w:cs="Arial"/>
          <w:lang w:val="es-ES" w:eastAsia="es-ES"/>
        </w:rPr>
        <w:t>Comedores</w:t>
      </w:r>
      <w:r w:rsidR="0013215F">
        <w:rPr>
          <w:rFonts w:ascii="Arial" w:hAnsi="Arial" w:cs="Arial"/>
          <w:lang w:val="es-ES" w:eastAsia="es-ES"/>
        </w:rPr>
        <w:t>.</w:t>
      </w:r>
    </w:p>
    <w:p w14:paraId="673D1F67" w14:textId="6700FC3C" w:rsidR="00F3467B" w:rsidRPr="00896570" w:rsidRDefault="0013215F"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Pr>
          <w:rFonts w:ascii="Arial" w:hAnsi="Arial" w:cs="Arial"/>
        </w:rPr>
        <w:t>Complementación a</w:t>
      </w:r>
      <w:r w:rsidR="00AA15A4" w:rsidRPr="00896570">
        <w:rPr>
          <w:rFonts w:ascii="Arial" w:hAnsi="Arial" w:cs="Arial"/>
        </w:rPr>
        <w:t>limentaria</w:t>
      </w:r>
      <w:r>
        <w:rPr>
          <w:rFonts w:ascii="Arial" w:hAnsi="Arial" w:cs="Arial"/>
        </w:rPr>
        <w:t>.</w:t>
      </w:r>
    </w:p>
    <w:p w14:paraId="2EEA8E22" w14:textId="2BD965BC" w:rsidR="00AA15A4" w:rsidRPr="00896570" w:rsidRDefault="00AA15A4"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Lucida Sans Unicode" w:hAnsi="Arial" w:cs="Arial"/>
          <w:lang w:val="es-MX"/>
        </w:rPr>
        <w:t>Complementación alimentaria para las personas con discapacidad- Bono canjeable por alimentos de la estrategia de inclusión comunitaria</w:t>
      </w:r>
      <w:r w:rsidR="0013215F">
        <w:rPr>
          <w:rFonts w:ascii="Arial" w:eastAsia="Lucida Sans Unicode" w:hAnsi="Arial" w:cs="Arial"/>
          <w:lang w:val="es-MX"/>
        </w:rPr>
        <w:t>.</w:t>
      </w:r>
    </w:p>
    <w:p w14:paraId="775B6E6A" w14:textId="4E20B244"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Atención integral externa a personas mayores de 18 años con discapacidad – Integrarte</w:t>
      </w:r>
      <w:r w:rsidR="0013215F">
        <w:rPr>
          <w:rFonts w:ascii="Arial" w:eastAsia="Calibri" w:hAnsi="Arial" w:cs="Arial"/>
          <w:color w:val="1A1A1A"/>
          <w:lang w:val="es-ES" w:eastAsia="es-ES"/>
        </w:rPr>
        <w:t>.</w:t>
      </w:r>
    </w:p>
    <w:p w14:paraId="09A7BDF7" w14:textId="5763B3CB"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Desarrollo de capacidades y oportunidades en centros de protección social</w:t>
      </w:r>
      <w:r w:rsidR="0013215F">
        <w:rPr>
          <w:rFonts w:ascii="Arial" w:eastAsia="Calibri" w:hAnsi="Arial" w:cs="Arial"/>
          <w:color w:val="1A1A1A"/>
          <w:lang w:val="es-ES" w:eastAsia="es-ES"/>
        </w:rPr>
        <w:t>.</w:t>
      </w:r>
    </w:p>
    <w:p w14:paraId="032F5E1D" w14:textId="26F54B77" w:rsidR="00F3467B" w:rsidRPr="00896570" w:rsidRDefault="00260F52"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A</w:t>
      </w:r>
      <w:r w:rsidR="00F3467B" w:rsidRPr="00896570">
        <w:rPr>
          <w:rFonts w:ascii="Arial" w:eastAsia="Calibri" w:hAnsi="Arial" w:cs="Arial"/>
          <w:color w:val="1A1A1A"/>
          <w:lang w:val="es-ES" w:eastAsia="es-ES"/>
        </w:rPr>
        <w:t>poyo</w:t>
      </w:r>
      <w:r w:rsidRPr="00896570">
        <w:rPr>
          <w:rFonts w:ascii="Arial" w:eastAsia="Calibri" w:hAnsi="Arial" w:cs="Arial"/>
          <w:color w:val="1A1A1A"/>
          <w:lang w:val="es-ES" w:eastAsia="es-ES"/>
        </w:rPr>
        <w:t>s</w:t>
      </w:r>
      <w:r w:rsidR="00F3467B" w:rsidRPr="00896570">
        <w:rPr>
          <w:rFonts w:ascii="Arial" w:eastAsia="Calibri" w:hAnsi="Arial" w:cs="Arial"/>
          <w:color w:val="1A1A1A"/>
          <w:lang w:val="es-ES" w:eastAsia="es-ES"/>
        </w:rPr>
        <w:t xml:space="preserve"> económico</w:t>
      </w:r>
      <w:r w:rsidRPr="00896570">
        <w:rPr>
          <w:rFonts w:ascii="Arial" w:eastAsia="Calibri" w:hAnsi="Arial" w:cs="Arial"/>
          <w:color w:val="1A1A1A"/>
          <w:lang w:val="es-ES" w:eastAsia="es-ES"/>
        </w:rPr>
        <w:t>s</w:t>
      </w:r>
      <w:r w:rsidR="00F3467B" w:rsidRPr="00896570">
        <w:rPr>
          <w:rFonts w:ascii="Arial" w:eastAsia="Calibri" w:hAnsi="Arial" w:cs="Arial"/>
          <w:color w:val="1A1A1A"/>
          <w:lang w:val="es-ES" w:eastAsia="es-ES"/>
        </w:rPr>
        <w:t xml:space="preserve"> tipo A, B, B desplazados y C</w:t>
      </w:r>
      <w:r w:rsidR="0013215F">
        <w:rPr>
          <w:rFonts w:ascii="Arial" w:eastAsia="Calibri" w:hAnsi="Arial" w:cs="Arial"/>
          <w:color w:val="1A1A1A"/>
          <w:lang w:val="es-ES" w:eastAsia="es-ES"/>
        </w:rPr>
        <w:t>.</w:t>
      </w:r>
    </w:p>
    <w:p w14:paraId="4B3A268C" w14:textId="2B5CCA1B"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Desarrollo de capacidades y potencialidades con apoyo económico cofinanciado D</w:t>
      </w:r>
      <w:r w:rsidR="0013215F">
        <w:rPr>
          <w:rFonts w:ascii="Arial" w:eastAsia="Calibri" w:hAnsi="Arial" w:cs="Arial"/>
          <w:color w:val="1A1A1A"/>
          <w:lang w:val="es-ES" w:eastAsia="es-ES"/>
        </w:rPr>
        <w:t>.</w:t>
      </w:r>
    </w:p>
    <w:p w14:paraId="10E5A28E" w14:textId="36954B75"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Desarrollo de capacidades y potencialidades en centros día</w:t>
      </w:r>
      <w:r w:rsidR="00A632C0">
        <w:rPr>
          <w:rFonts w:ascii="Arial" w:eastAsia="Calibri" w:hAnsi="Arial" w:cs="Arial"/>
          <w:color w:val="1A1A1A"/>
          <w:lang w:val="es-ES" w:eastAsia="es-ES"/>
        </w:rPr>
        <w:t>.</w:t>
      </w:r>
    </w:p>
    <w:p w14:paraId="5499D5F6" w14:textId="187C8612"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Desarrollo de capacidades y potencialidades en centro noche</w:t>
      </w:r>
      <w:r w:rsidR="00A632C0">
        <w:rPr>
          <w:rFonts w:ascii="Arial" w:eastAsia="Calibri" w:hAnsi="Arial" w:cs="Arial"/>
          <w:color w:val="1A1A1A"/>
          <w:lang w:val="es-ES" w:eastAsia="es-ES"/>
        </w:rPr>
        <w:t>.</w:t>
      </w:r>
    </w:p>
    <w:p w14:paraId="2CB216EF" w14:textId="7C302DB6"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Atención integral a personas de los sectores LGBTI, sus familias y redes de apoyo</w:t>
      </w:r>
      <w:r w:rsidR="00A632C0">
        <w:rPr>
          <w:rFonts w:ascii="Arial" w:eastAsia="Calibri" w:hAnsi="Arial" w:cs="Arial"/>
          <w:color w:val="1A1A1A"/>
          <w:lang w:val="es-ES" w:eastAsia="es-ES"/>
        </w:rPr>
        <w:t>.</w:t>
      </w:r>
    </w:p>
    <w:p w14:paraId="47269D20" w14:textId="5F56A2C4" w:rsidR="00F3467B" w:rsidRPr="00896570" w:rsidRDefault="00F3467B" w:rsidP="00A40D2B">
      <w:pPr>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Atención integral a ciudadanos habitantes de calle</w:t>
      </w:r>
      <w:r w:rsidR="00A632C0">
        <w:rPr>
          <w:rFonts w:ascii="Arial" w:eastAsia="Calibri" w:hAnsi="Arial" w:cs="Arial"/>
          <w:color w:val="1A1A1A"/>
          <w:lang w:val="es-ES" w:eastAsia="es-ES"/>
        </w:rPr>
        <w:t>.</w:t>
      </w:r>
    </w:p>
    <w:p w14:paraId="2F66A759" w14:textId="19AF1897" w:rsidR="00A40D2B" w:rsidRPr="00896570" w:rsidRDefault="001757E6" w:rsidP="00A40D2B">
      <w:pPr>
        <w:pStyle w:val="Prrafodelista"/>
        <w:numPr>
          <w:ilvl w:val="3"/>
          <w:numId w:val="18"/>
        </w:numPr>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Enlace Social</w:t>
      </w:r>
      <w:r w:rsidR="00A632C0">
        <w:rPr>
          <w:rFonts w:ascii="Arial" w:eastAsia="Calibri" w:hAnsi="Arial" w:cs="Arial"/>
          <w:color w:val="1A1A1A"/>
          <w:lang w:val="es-ES" w:eastAsia="es-ES"/>
        </w:rPr>
        <w:t>.</w:t>
      </w:r>
    </w:p>
    <w:p w14:paraId="102EC931" w14:textId="6D4F1518" w:rsidR="007B06F3" w:rsidRPr="00896570" w:rsidRDefault="007B06F3" w:rsidP="00A40D2B">
      <w:pPr>
        <w:pStyle w:val="Prrafodelista"/>
        <w:numPr>
          <w:ilvl w:val="3"/>
          <w:numId w:val="18"/>
        </w:numPr>
        <w:tabs>
          <w:tab w:val="clear" w:pos="1440"/>
        </w:tabs>
        <w:autoSpaceDE w:val="0"/>
        <w:autoSpaceDN w:val="0"/>
        <w:adjustRightInd w:val="0"/>
        <w:spacing w:after="0" w:line="240" w:lineRule="auto"/>
        <w:ind w:left="709"/>
        <w:jc w:val="both"/>
        <w:rPr>
          <w:rFonts w:ascii="Arial" w:hAnsi="Arial" w:cs="Arial"/>
          <w:lang w:val="es-ES" w:eastAsia="es-ES"/>
        </w:rPr>
      </w:pPr>
      <w:r w:rsidRPr="00896570">
        <w:rPr>
          <w:rFonts w:ascii="Arial" w:eastAsia="Calibri" w:hAnsi="Arial" w:cs="Arial"/>
          <w:color w:val="1A1A1A"/>
          <w:lang w:val="es-ES" w:eastAsia="es-ES"/>
        </w:rPr>
        <w:t>Centros de desarrollo comunitario</w:t>
      </w:r>
      <w:r w:rsidR="00A632C0">
        <w:rPr>
          <w:rFonts w:ascii="Arial" w:eastAsia="Calibri" w:hAnsi="Arial" w:cs="Arial"/>
          <w:color w:val="1A1A1A"/>
          <w:lang w:val="es-ES" w:eastAsia="es-ES"/>
        </w:rPr>
        <w:t>.</w:t>
      </w:r>
    </w:p>
    <w:p w14:paraId="6DE917B1" w14:textId="77777777" w:rsidR="00F3467B" w:rsidRPr="00896570" w:rsidRDefault="00F3467B" w:rsidP="00F3467B">
      <w:pPr>
        <w:autoSpaceDE w:val="0"/>
        <w:autoSpaceDN w:val="0"/>
        <w:adjustRightInd w:val="0"/>
        <w:spacing w:after="0" w:line="240" w:lineRule="auto"/>
        <w:ind w:left="1080"/>
        <w:jc w:val="both"/>
        <w:rPr>
          <w:rFonts w:ascii="Arial" w:hAnsi="Arial" w:cs="Arial"/>
          <w:lang w:val="es-ES" w:eastAsia="es-ES"/>
        </w:rPr>
      </w:pPr>
    </w:p>
    <w:p w14:paraId="25458B52" w14:textId="565C3500" w:rsidR="00344C74" w:rsidRPr="0053594E" w:rsidRDefault="00344C74" w:rsidP="00683DDE">
      <w:pPr>
        <w:pStyle w:val="Prrafodelista"/>
        <w:numPr>
          <w:ilvl w:val="0"/>
          <w:numId w:val="19"/>
        </w:numPr>
        <w:autoSpaceDE w:val="0"/>
        <w:autoSpaceDN w:val="0"/>
        <w:adjustRightInd w:val="0"/>
        <w:spacing w:line="240" w:lineRule="auto"/>
        <w:ind w:left="426"/>
        <w:jc w:val="both"/>
        <w:rPr>
          <w:rFonts w:ascii="Arial" w:hAnsi="Arial" w:cs="Arial"/>
        </w:rPr>
      </w:pPr>
      <w:r w:rsidRPr="0053594E">
        <w:rPr>
          <w:rFonts w:ascii="Arial" w:hAnsi="Arial" w:cs="Arial"/>
          <w:lang w:val="es-ES" w:eastAsia="es-ES"/>
        </w:rPr>
        <w:t xml:space="preserve">Para los servicios sociales que cuentan con criterios de focalización a través de puntaje SISBEN, el ingreso se hará directamente a través de lo definido en el procedimiento </w:t>
      </w:r>
      <w:r w:rsidRPr="0053594E">
        <w:rPr>
          <w:rFonts w:ascii="Arial" w:hAnsi="Arial" w:cs="Arial"/>
        </w:rPr>
        <w:t xml:space="preserve">Focalización y </w:t>
      </w:r>
      <w:r w:rsidR="006E236E" w:rsidRPr="0053594E">
        <w:rPr>
          <w:rFonts w:ascii="Arial" w:hAnsi="Arial" w:cs="Arial"/>
        </w:rPr>
        <w:t xml:space="preserve">priorización </w:t>
      </w:r>
      <w:r w:rsidRPr="0053594E">
        <w:rPr>
          <w:rFonts w:ascii="Arial" w:hAnsi="Arial" w:cs="Arial"/>
        </w:rPr>
        <w:t xml:space="preserve">de </w:t>
      </w:r>
      <w:r w:rsidR="006E236E" w:rsidRPr="0053594E">
        <w:rPr>
          <w:rFonts w:ascii="Arial" w:hAnsi="Arial" w:cs="Arial"/>
        </w:rPr>
        <w:t xml:space="preserve">potenciales </w:t>
      </w:r>
      <w:r w:rsidRPr="0053594E">
        <w:rPr>
          <w:rFonts w:ascii="Arial" w:hAnsi="Arial" w:cs="Arial"/>
        </w:rPr>
        <w:t xml:space="preserve">participantes de los </w:t>
      </w:r>
      <w:r w:rsidR="006E236E" w:rsidRPr="0053594E">
        <w:rPr>
          <w:rFonts w:ascii="Arial" w:hAnsi="Arial" w:cs="Arial"/>
        </w:rPr>
        <w:t xml:space="preserve">servicios sociales </w:t>
      </w:r>
      <w:r w:rsidRPr="0053594E">
        <w:rPr>
          <w:rFonts w:ascii="Arial" w:hAnsi="Arial" w:cs="Arial"/>
        </w:rPr>
        <w:t xml:space="preserve">de la Secretaria de Integración Social por </w:t>
      </w:r>
      <w:r w:rsidR="006E236E" w:rsidRPr="0053594E">
        <w:rPr>
          <w:rFonts w:ascii="Arial" w:hAnsi="Arial" w:cs="Arial"/>
          <w:lang w:val="es-ES" w:eastAsia="es-ES"/>
        </w:rPr>
        <w:t xml:space="preserve">demanda </w:t>
      </w:r>
      <w:r w:rsidRPr="0053594E">
        <w:rPr>
          <w:rFonts w:ascii="Arial" w:hAnsi="Arial" w:cs="Arial"/>
          <w:lang w:val="es-ES" w:eastAsia="es-ES"/>
        </w:rPr>
        <w:t>(</w:t>
      </w:r>
      <w:r w:rsidR="00683DDE" w:rsidRPr="0053594E">
        <w:rPr>
          <w:rFonts w:ascii="Arial" w:hAnsi="Arial" w:cs="Arial"/>
          <w:lang w:val="es-ES" w:eastAsia="es-ES"/>
        </w:rPr>
        <w:t>PCD-PSS-021</w:t>
      </w:r>
      <w:r w:rsidRPr="0053594E">
        <w:rPr>
          <w:rFonts w:ascii="Arial" w:hAnsi="Arial" w:cs="Arial"/>
          <w:lang w:val="es-ES" w:eastAsia="es-ES"/>
        </w:rPr>
        <w:t>).</w:t>
      </w:r>
    </w:p>
    <w:p w14:paraId="2568D304" w14:textId="6885CF3E" w:rsidR="00344C74" w:rsidRPr="0053594E" w:rsidRDefault="00344C74" w:rsidP="00344C74">
      <w:pPr>
        <w:pStyle w:val="Prrafodelista"/>
        <w:numPr>
          <w:ilvl w:val="0"/>
          <w:numId w:val="19"/>
        </w:numPr>
        <w:autoSpaceDE w:val="0"/>
        <w:autoSpaceDN w:val="0"/>
        <w:adjustRightInd w:val="0"/>
        <w:spacing w:line="240" w:lineRule="auto"/>
        <w:ind w:left="426"/>
        <w:jc w:val="both"/>
        <w:rPr>
          <w:rFonts w:ascii="Arial" w:hAnsi="Arial" w:cs="Arial"/>
        </w:rPr>
      </w:pPr>
      <w:r w:rsidRPr="0053594E">
        <w:rPr>
          <w:rFonts w:ascii="Arial" w:hAnsi="Arial" w:cs="Arial"/>
          <w:lang w:val="es-ES" w:eastAsia="es-ES"/>
        </w:rPr>
        <w:lastRenderedPageBreak/>
        <w:t xml:space="preserve">En los casos de los servicios sociales que no cuentan con el SISBEN </w:t>
      </w:r>
      <w:r w:rsidR="00683DDE" w:rsidRPr="0053594E">
        <w:rPr>
          <w:rFonts w:ascii="Arial" w:hAnsi="Arial" w:cs="Arial"/>
          <w:lang w:val="es-ES" w:eastAsia="es-ES"/>
        </w:rPr>
        <w:t>c</w:t>
      </w:r>
      <w:r w:rsidRPr="0053594E">
        <w:rPr>
          <w:rFonts w:ascii="Arial" w:hAnsi="Arial" w:cs="Arial"/>
          <w:lang w:val="es-ES" w:eastAsia="es-ES"/>
        </w:rPr>
        <w:t xml:space="preserve">omo herramienta de focalización, el ingreso iniciará con lo definido en el </w:t>
      </w:r>
      <w:r w:rsidR="00683DDE" w:rsidRPr="0053594E">
        <w:rPr>
          <w:rFonts w:ascii="Arial" w:hAnsi="Arial" w:cs="Arial"/>
          <w:lang w:val="es-ES" w:eastAsia="es-ES"/>
        </w:rPr>
        <w:t>p</w:t>
      </w:r>
      <w:proofErr w:type="spellStart"/>
      <w:r w:rsidR="00683DDE" w:rsidRPr="0053594E">
        <w:rPr>
          <w:rFonts w:ascii="Arial" w:hAnsi="Arial" w:cs="Arial"/>
        </w:rPr>
        <w:t>rocedimiento</w:t>
      </w:r>
      <w:proofErr w:type="spellEnd"/>
      <w:r w:rsidRPr="0053594E">
        <w:rPr>
          <w:rFonts w:ascii="Arial" w:hAnsi="Arial" w:cs="Arial"/>
        </w:rPr>
        <w:t xml:space="preserve"> </w:t>
      </w:r>
      <w:r w:rsidR="00683DDE" w:rsidRPr="0053594E">
        <w:rPr>
          <w:rFonts w:ascii="Arial" w:hAnsi="Arial" w:cs="Arial"/>
        </w:rPr>
        <w:t>General de i</w:t>
      </w:r>
      <w:r w:rsidRPr="0053594E">
        <w:rPr>
          <w:rFonts w:ascii="Arial" w:hAnsi="Arial" w:cs="Arial"/>
        </w:rPr>
        <w:t xml:space="preserve">dentificación y </w:t>
      </w:r>
      <w:r w:rsidR="00683DDE" w:rsidRPr="0053594E">
        <w:rPr>
          <w:rFonts w:ascii="Arial" w:hAnsi="Arial" w:cs="Arial"/>
        </w:rPr>
        <w:t>c</w:t>
      </w:r>
      <w:r w:rsidRPr="0053594E">
        <w:rPr>
          <w:rFonts w:ascii="Arial" w:hAnsi="Arial" w:cs="Arial"/>
        </w:rPr>
        <w:t xml:space="preserve">aracterización de </w:t>
      </w:r>
      <w:r w:rsidR="00683DDE" w:rsidRPr="0053594E">
        <w:rPr>
          <w:rFonts w:ascii="Arial" w:hAnsi="Arial" w:cs="Arial"/>
        </w:rPr>
        <w:t>p</w:t>
      </w:r>
      <w:r w:rsidRPr="0053594E">
        <w:rPr>
          <w:rFonts w:ascii="Arial" w:hAnsi="Arial" w:cs="Arial"/>
        </w:rPr>
        <w:t>oblación (PCD- PSS-007)</w:t>
      </w:r>
      <w:r w:rsidR="00683DDE" w:rsidRPr="0053594E">
        <w:rPr>
          <w:rFonts w:ascii="Arial" w:hAnsi="Arial" w:cs="Arial"/>
        </w:rPr>
        <w:t>.</w:t>
      </w:r>
    </w:p>
    <w:p w14:paraId="223ED8AA" w14:textId="70646BD5" w:rsidR="00F3467B" w:rsidRPr="00896570" w:rsidRDefault="00F3467B" w:rsidP="00A40D2B">
      <w:pPr>
        <w:pStyle w:val="Prrafodelista"/>
        <w:numPr>
          <w:ilvl w:val="0"/>
          <w:numId w:val="19"/>
        </w:numPr>
        <w:autoSpaceDE w:val="0"/>
        <w:autoSpaceDN w:val="0"/>
        <w:adjustRightInd w:val="0"/>
        <w:spacing w:after="0" w:line="240" w:lineRule="auto"/>
        <w:ind w:left="426"/>
        <w:jc w:val="both"/>
        <w:rPr>
          <w:rFonts w:ascii="Arial" w:hAnsi="Arial" w:cs="Arial"/>
          <w:lang w:val="es-ES" w:eastAsia="es-ES"/>
        </w:rPr>
      </w:pPr>
      <w:r w:rsidRPr="00896570">
        <w:rPr>
          <w:rFonts w:ascii="Arial" w:hAnsi="Arial" w:cs="Arial"/>
          <w:lang w:val="es-ES" w:eastAsia="es-ES"/>
        </w:rPr>
        <w:t>Si el servicio social que solicita el ciudadano-a cuenta con directrices específicas de ingreso (procedimientos, instructivos, protocolos,</w:t>
      </w:r>
      <w:r w:rsidR="0068612D">
        <w:rPr>
          <w:rFonts w:ascii="Arial" w:hAnsi="Arial" w:cs="Arial"/>
          <w:lang w:val="es-ES" w:eastAsia="es-ES"/>
        </w:rPr>
        <w:t xml:space="preserve"> o aplica criterios de focalización por puntaje SISBEN</w:t>
      </w:r>
      <w:r w:rsidRPr="00896570">
        <w:rPr>
          <w:rFonts w:ascii="Arial" w:hAnsi="Arial" w:cs="Arial"/>
          <w:lang w:val="es-ES" w:eastAsia="es-ES"/>
        </w:rPr>
        <w:t>) se deben aplicar dichas directrices de manera adicional a este procedimiento</w:t>
      </w:r>
      <w:r w:rsidR="00260F52" w:rsidRPr="00896570">
        <w:rPr>
          <w:rFonts w:ascii="Arial" w:hAnsi="Arial" w:cs="Arial"/>
          <w:lang w:val="es-ES" w:eastAsia="es-ES"/>
        </w:rPr>
        <w:t>.</w:t>
      </w:r>
    </w:p>
    <w:p w14:paraId="600AB2DE" w14:textId="77777777" w:rsidR="00AA15A4" w:rsidRPr="00896570" w:rsidRDefault="00AA15A4" w:rsidP="00AA15A4">
      <w:pPr>
        <w:pStyle w:val="Prrafodelista"/>
        <w:numPr>
          <w:ilvl w:val="0"/>
          <w:numId w:val="19"/>
        </w:numPr>
        <w:autoSpaceDE w:val="0"/>
        <w:autoSpaceDN w:val="0"/>
        <w:adjustRightInd w:val="0"/>
        <w:spacing w:after="0" w:line="240" w:lineRule="auto"/>
        <w:ind w:left="426"/>
        <w:jc w:val="both"/>
        <w:rPr>
          <w:rFonts w:ascii="Arial" w:eastAsia="Lucida Sans Unicode" w:hAnsi="Arial" w:cs="Arial"/>
          <w:bCs/>
          <w:kern w:val="1"/>
        </w:rPr>
      </w:pPr>
      <w:r w:rsidRPr="00896570">
        <w:rPr>
          <w:rFonts w:ascii="Arial" w:eastAsia="Lucida Sans Unicode" w:hAnsi="Arial" w:cs="Arial"/>
          <w:bCs/>
          <w:kern w:val="1"/>
        </w:rPr>
        <w:t>Los servicios a los que no les aplica éste procedimiento cuentan con lineamientos propios para tramitar los ingresos o por su naturaleza de servicios transitorios no les aplica.</w:t>
      </w:r>
    </w:p>
    <w:p w14:paraId="157CE8EF" w14:textId="77777777" w:rsidR="00191C95" w:rsidRPr="00896570" w:rsidRDefault="00191C95" w:rsidP="00A40D2B">
      <w:pPr>
        <w:pStyle w:val="Prrafodelista"/>
        <w:numPr>
          <w:ilvl w:val="0"/>
          <w:numId w:val="19"/>
        </w:numPr>
        <w:autoSpaceDE w:val="0"/>
        <w:autoSpaceDN w:val="0"/>
        <w:adjustRightInd w:val="0"/>
        <w:spacing w:after="0" w:line="240" w:lineRule="auto"/>
        <w:ind w:left="426"/>
        <w:jc w:val="both"/>
        <w:rPr>
          <w:rFonts w:ascii="Arial" w:hAnsi="Arial" w:cs="Arial"/>
          <w:lang w:val="es-ES" w:eastAsia="es-ES"/>
        </w:rPr>
      </w:pPr>
      <w:r w:rsidRPr="00896570">
        <w:rPr>
          <w:rFonts w:ascii="Arial" w:hAnsi="Arial" w:cs="Arial"/>
          <w:lang w:val="es-ES" w:eastAsia="es-ES"/>
        </w:rPr>
        <w:t xml:space="preserve">Debe estar oficialmente definido el </w:t>
      </w:r>
      <w:r w:rsidRPr="00896570">
        <w:rPr>
          <w:rFonts w:ascii="Arial" w:hAnsi="Arial" w:cs="Arial"/>
          <w:bCs/>
          <w:lang w:val="es-ES" w:eastAsia="es-ES"/>
        </w:rPr>
        <w:t xml:space="preserve">portafolio </w:t>
      </w:r>
      <w:r w:rsidRPr="00896570">
        <w:rPr>
          <w:rFonts w:ascii="Arial" w:hAnsi="Arial" w:cs="Arial"/>
          <w:lang w:val="es-ES" w:eastAsia="es-ES"/>
        </w:rPr>
        <w:t>de servicios sociales de la entidad.</w:t>
      </w:r>
    </w:p>
    <w:p w14:paraId="7400DD15" w14:textId="2FA343B2" w:rsidR="00191C95" w:rsidRPr="00896570" w:rsidRDefault="00191C95" w:rsidP="00A40D2B">
      <w:pPr>
        <w:numPr>
          <w:ilvl w:val="1"/>
          <w:numId w:val="20"/>
        </w:numPr>
        <w:tabs>
          <w:tab w:val="clear" w:pos="720"/>
        </w:tabs>
        <w:spacing w:after="0" w:line="240" w:lineRule="auto"/>
        <w:ind w:left="426"/>
        <w:jc w:val="both"/>
        <w:rPr>
          <w:rFonts w:ascii="Arial" w:hAnsi="Arial" w:cs="Arial"/>
          <w:lang w:val="es-ES" w:eastAsia="es-ES"/>
        </w:rPr>
      </w:pPr>
      <w:r w:rsidRPr="00896570">
        <w:rPr>
          <w:rFonts w:ascii="Arial" w:hAnsi="Arial" w:cs="Arial"/>
          <w:lang w:val="es-ES" w:eastAsia="es-ES"/>
        </w:rPr>
        <w:t xml:space="preserve">Deben estar oficialmente definidos los </w:t>
      </w:r>
      <w:r w:rsidRPr="00896570">
        <w:rPr>
          <w:rFonts w:ascii="Arial" w:hAnsi="Arial" w:cs="Arial"/>
          <w:bCs/>
          <w:lang w:val="es-ES" w:eastAsia="es-ES"/>
        </w:rPr>
        <w:t xml:space="preserve">Criterios </w:t>
      </w:r>
      <w:r w:rsidRPr="00896570">
        <w:rPr>
          <w:rFonts w:ascii="Arial" w:hAnsi="Arial" w:cs="Arial"/>
          <w:lang w:val="es-ES" w:eastAsia="es-ES"/>
        </w:rPr>
        <w:t>de</w:t>
      </w:r>
      <w:r w:rsidR="00344C74">
        <w:rPr>
          <w:rFonts w:ascii="Arial" w:hAnsi="Arial" w:cs="Arial"/>
          <w:lang w:val="es-ES" w:eastAsia="es-ES"/>
        </w:rPr>
        <w:t xml:space="preserve"> focalización</w:t>
      </w:r>
      <w:r w:rsidRPr="00896570">
        <w:rPr>
          <w:rFonts w:ascii="Arial" w:hAnsi="Arial" w:cs="Arial"/>
          <w:lang w:val="es-ES" w:eastAsia="es-ES"/>
        </w:rPr>
        <w:t>, Egreso, Priorización y Restricciones por Simultaneidad para el acceso a los servicios de la Secretaría Distrital de Integración Social.</w:t>
      </w:r>
    </w:p>
    <w:p w14:paraId="602E5AAD" w14:textId="35BB968F" w:rsidR="00A40D2B" w:rsidRPr="00896570" w:rsidRDefault="00AA15A4" w:rsidP="00514D4D">
      <w:pPr>
        <w:numPr>
          <w:ilvl w:val="1"/>
          <w:numId w:val="20"/>
        </w:numPr>
        <w:tabs>
          <w:tab w:val="clear" w:pos="720"/>
        </w:tabs>
        <w:autoSpaceDE w:val="0"/>
        <w:autoSpaceDN w:val="0"/>
        <w:adjustRightInd w:val="0"/>
        <w:spacing w:after="0" w:line="240" w:lineRule="auto"/>
        <w:ind w:left="426"/>
        <w:jc w:val="both"/>
        <w:rPr>
          <w:rFonts w:ascii="Arial" w:eastAsia="Lucida Sans Unicode" w:hAnsi="Arial" w:cs="Arial"/>
          <w:bCs/>
          <w:kern w:val="1"/>
        </w:rPr>
      </w:pPr>
      <w:r w:rsidRPr="00896570">
        <w:rPr>
          <w:rFonts w:ascii="Arial" w:hAnsi="Arial" w:cs="Arial"/>
        </w:rPr>
        <w:t xml:space="preserve">Para el servicio </w:t>
      </w:r>
      <w:r w:rsidRPr="00896570">
        <w:rPr>
          <w:rFonts w:ascii="Arial" w:eastAsia="Calibri" w:hAnsi="Arial" w:cs="Arial"/>
          <w:lang w:val="es-ES" w:eastAsia="es-ES"/>
        </w:rPr>
        <w:t xml:space="preserve">Apoyos económicos tipo A, B, B desplazados y C todos </w:t>
      </w:r>
      <w:r w:rsidR="00A40D2B" w:rsidRPr="00896570">
        <w:rPr>
          <w:rFonts w:ascii="Arial" w:hAnsi="Arial" w:cs="Arial"/>
        </w:rPr>
        <w:t>los cambios de estado se realizan por medio de resolución</w:t>
      </w:r>
      <w:r w:rsidRPr="00896570">
        <w:rPr>
          <w:rFonts w:ascii="Arial" w:hAnsi="Arial" w:cs="Arial"/>
        </w:rPr>
        <w:t xml:space="preserve"> emitida por la Subdirección Local y</w:t>
      </w:r>
      <w:r w:rsidR="00A40D2B" w:rsidRPr="00896570">
        <w:rPr>
          <w:rFonts w:ascii="Arial" w:hAnsi="Arial" w:cs="Arial"/>
        </w:rPr>
        <w:t xml:space="preserve"> se procede </w:t>
      </w:r>
      <w:r w:rsidR="00CD149E">
        <w:rPr>
          <w:rFonts w:ascii="Arial" w:hAnsi="Arial" w:cs="Arial"/>
        </w:rPr>
        <w:t>a notificar a la persona mayor.</w:t>
      </w:r>
    </w:p>
    <w:p w14:paraId="38975B26" w14:textId="77777777" w:rsidR="00F94D9A" w:rsidRPr="00896570" w:rsidRDefault="00F94D9A" w:rsidP="005463FE">
      <w:pPr>
        <w:spacing w:after="0" w:line="240" w:lineRule="auto"/>
        <w:jc w:val="both"/>
        <w:rPr>
          <w:rFonts w:ascii="Arial" w:hAnsi="Arial" w:cs="Arial"/>
        </w:rPr>
      </w:pPr>
    </w:p>
    <w:p w14:paraId="21908F7B" w14:textId="77777777" w:rsidR="007054A8" w:rsidRPr="00896570" w:rsidRDefault="007054A8">
      <w:pPr>
        <w:rPr>
          <w:rFonts w:ascii="Arial" w:hAnsi="Arial" w:cs="Arial"/>
        </w:rPr>
      </w:pPr>
      <w:r w:rsidRPr="00896570">
        <w:rPr>
          <w:rFonts w:ascii="Arial" w:hAnsi="Arial" w:cs="Arial"/>
        </w:rPr>
        <w:br w:type="page"/>
      </w:r>
    </w:p>
    <w:p w14:paraId="41DD30E2" w14:textId="77777777" w:rsidR="00927EF8" w:rsidRPr="00896570" w:rsidRDefault="00927EF8" w:rsidP="005463FE">
      <w:pPr>
        <w:pStyle w:val="Prrafodelista"/>
        <w:numPr>
          <w:ilvl w:val="0"/>
          <w:numId w:val="11"/>
        </w:numPr>
        <w:spacing w:after="0" w:line="240" w:lineRule="auto"/>
        <w:jc w:val="both"/>
        <w:rPr>
          <w:rFonts w:ascii="Arial" w:hAnsi="Arial" w:cs="Arial"/>
        </w:rPr>
      </w:pPr>
      <w:r w:rsidRPr="00896570">
        <w:rPr>
          <w:rFonts w:ascii="Arial" w:hAnsi="Arial" w:cs="Arial"/>
        </w:rPr>
        <w:lastRenderedPageBreak/>
        <w:t>Descripción de actividades</w:t>
      </w:r>
    </w:p>
    <w:p w14:paraId="5DA927B7" w14:textId="45E0AAA2" w:rsidR="006D447E" w:rsidRPr="00896570" w:rsidRDefault="00B36270" w:rsidP="005463FE">
      <w:pPr>
        <w:spacing w:after="0" w:line="240" w:lineRule="auto"/>
        <w:jc w:val="both"/>
        <w:rPr>
          <w:rFonts w:ascii="Arial" w:hAnsi="Arial" w:cs="Arial"/>
        </w:rPr>
      </w:pPr>
      <w:r w:rsidRPr="00B36270">
        <w:rPr>
          <w:noProof/>
          <w:lang w:eastAsia="es-CO"/>
        </w:rPr>
        <w:drawing>
          <wp:inline distT="0" distB="0" distL="0" distR="0" wp14:anchorId="2B3BE164" wp14:editId="1F961F8A">
            <wp:extent cx="5971184" cy="7421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686" cy="7434934"/>
                    </a:xfrm>
                    <a:prstGeom prst="rect">
                      <a:avLst/>
                    </a:prstGeom>
                    <a:noFill/>
                    <a:ln>
                      <a:noFill/>
                    </a:ln>
                  </pic:spPr>
                </pic:pic>
              </a:graphicData>
            </a:graphic>
          </wp:inline>
        </w:drawing>
      </w:r>
    </w:p>
    <w:p w14:paraId="0B0BC815" w14:textId="796F2017" w:rsidR="004D3725" w:rsidRPr="00896570" w:rsidRDefault="004D3725" w:rsidP="005463FE">
      <w:pPr>
        <w:pStyle w:val="Prrafodelista"/>
        <w:numPr>
          <w:ilvl w:val="0"/>
          <w:numId w:val="11"/>
        </w:numPr>
        <w:spacing w:after="0" w:line="240" w:lineRule="auto"/>
        <w:jc w:val="both"/>
        <w:rPr>
          <w:rFonts w:ascii="Arial" w:hAnsi="Arial" w:cs="Arial"/>
        </w:rPr>
      </w:pPr>
      <w:r w:rsidRPr="00896570">
        <w:rPr>
          <w:rFonts w:ascii="Arial" w:hAnsi="Arial" w:cs="Arial"/>
        </w:rPr>
        <w:lastRenderedPageBreak/>
        <w:t>D</w:t>
      </w:r>
      <w:r w:rsidR="00927EF8" w:rsidRPr="00896570">
        <w:rPr>
          <w:rFonts w:ascii="Arial" w:hAnsi="Arial" w:cs="Arial"/>
        </w:rPr>
        <w:t>isposiciones de almacenamiento y archivo</w:t>
      </w:r>
    </w:p>
    <w:p w14:paraId="5E07867F" w14:textId="77777777" w:rsidR="00927EF8" w:rsidRPr="00896570" w:rsidRDefault="00927EF8" w:rsidP="005463FE">
      <w:pPr>
        <w:spacing w:after="0" w:line="240" w:lineRule="auto"/>
        <w:jc w:val="both"/>
        <w:rPr>
          <w:rFonts w:ascii="Arial" w:hAnsi="Arial" w:cs="Arial"/>
        </w:rPr>
      </w:pPr>
    </w:p>
    <w:p w14:paraId="61BFB12B" w14:textId="1843C6FB" w:rsidR="00F94D9A" w:rsidRPr="00896570" w:rsidRDefault="00F94D9A" w:rsidP="005463FE">
      <w:pPr>
        <w:pStyle w:val="Sangradetextonormal"/>
        <w:ind w:left="0" w:right="-29"/>
        <w:rPr>
          <w:rFonts w:ascii="Arial" w:eastAsiaTheme="minorHAnsi" w:hAnsi="Arial" w:cs="Arial"/>
          <w:color w:val="auto"/>
          <w:szCs w:val="22"/>
          <w:lang w:val="es-CO" w:eastAsia="en-US"/>
        </w:rPr>
      </w:pPr>
      <w:r w:rsidRPr="00896570">
        <w:rPr>
          <w:rFonts w:ascii="Arial" w:eastAsiaTheme="minorHAnsi" w:hAnsi="Arial" w:cs="Arial"/>
          <w:color w:val="auto"/>
          <w:szCs w:val="22"/>
          <w:lang w:val="es-CO" w:eastAsia="en-US"/>
        </w:rPr>
        <w:t xml:space="preserve">“Las disposiciones de almacenamiento y archivo de la documentación del Sistema Integrado de Gestión, se realizará de conformidad con lo dispuesto en el </w:t>
      </w:r>
      <w:r w:rsidR="00BC7E53" w:rsidRPr="00896570">
        <w:rPr>
          <w:rFonts w:ascii="Arial" w:eastAsiaTheme="minorHAnsi" w:hAnsi="Arial" w:cs="Arial"/>
          <w:color w:val="auto"/>
          <w:szCs w:val="22"/>
          <w:lang w:val="es-CO" w:eastAsia="en-US"/>
        </w:rPr>
        <w:t xml:space="preserve">Subsistema </w:t>
      </w:r>
      <w:r w:rsidRPr="00896570">
        <w:rPr>
          <w:rFonts w:ascii="Arial" w:eastAsiaTheme="minorHAnsi" w:hAnsi="Arial" w:cs="Arial"/>
          <w:color w:val="auto"/>
          <w:szCs w:val="22"/>
          <w:lang w:val="es-CO" w:eastAsia="en-US"/>
        </w:rPr>
        <w:t>de Gestión Documental y Archivo (SIGA)”.</w:t>
      </w:r>
    </w:p>
    <w:p w14:paraId="11FCA234" w14:textId="77777777" w:rsidR="00F94D9A" w:rsidRDefault="00F94D9A" w:rsidP="005463FE">
      <w:pPr>
        <w:spacing w:after="0" w:line="240" w:lineRule="auto"/>
        <w:jc w:val="both"/>
        <w:rPr>
          <w:rFonts w:ascii="Arial" w:hAnsi="Arial" w:cs="Arial"/>
        </w:rPr>
      </w:pPr>
    </w:p>
    <w:p w14:paraId="7F83254E" w14:textId="77777777" w:rsidR="00927EF8" w:rsidRPr="00896570" w:rsidRDefault="00927EF8" w:rsidP="005463FE">
      <w:pPr>
        <w:pStyle w:val="Prrafodelista"/>
        <w:numPr>
          <w:ilvl w:val="0"/>
          <w:numId w:val="11"/>
        </w:numPr>
        <w:spacing w:after="0" w:line="240" w:lineRule="auto"/>
        <w:jc w:val="both"/>
        <w:rPr>
          <w:rFonts w:ascii="Arial" w:hAnsi="Arial" w:cs="Arial"/>
        </w:rPr>
      </w:pPr>
      <w:r w:rsidRPr="00896570">
        <w:rPr>
          <w:rFonts w:ascii="Arial" w:hAnsi="Arial" w:cs="Arial"/>
        </w:rPr>
        <w:t>Dependencia encargada de administrar este procedimient</w:t>
      </w:r>
      <w:r w:rsidR="00CB1310" w:rsidRPr="00896570">
        <w:rPr>
          <w:rFonts w:ascii="Arial" w:hAnsi="Arial" w:cs="Arial"/>
        </w:rPr>
        <w:t>o</w:t>
      </w:r>
    </w:p>
    <w:p w14:paraId="653B2043" w14:textId="77777777" w:rsidR="001467E0" w:rsidRPr="00896570" w:rsidRDefault="001467E0" w:rsidP="005463FE">
      <w:pPr>
        <w:spacing w:after="0" w:line="240" w:lineRule="auto"/>
        <w:jc w:val="both"/>
        <w:rPr>
          <w:rFonts w:ascii="Arial" w:hAnsi="Arial" w:cs="Arial"/>
        </w:rPr>
      </w:pPr>
    </w:p>
    <w:p w14:paraId="28519F28" w14:textId="788BCAE1" w:rsidR="00F94D9A" w:rsidRPr="00896570" w:rsidRDefault="00146AC1" w:rsidP="005463FE">
      <w:pPr>
        <w:pStyle w:val="Sangradetextonormal"/>
        <w:ind w:left="0" w:right="-29"/>
        <w:rPr>
          <w:rFonts w:ascii="Arial" w:eastAsiaTheme="minorHAnsi" w:hAnsi="Arial" w:cs="Arial"/>
          <w:color w:val="auto"/>
          <w:szCs w:val="22"/>
          <w:lang w:val="es-CO" w:eastAsia="en-US"/>
        </w:rPr>
      </w:pPr>
      <w:r w:rsidRPr="00896570">
        <w:rPr>
          <w:rFonts w:ascii="Arial" w:eastAsiaTheme="minorHAnsi" w:hAnsi="Arial" w:cs="Arial"/>
          <w:color w:val="auto"/>
          <w:szCs w:val="22"/>
          <w:lang w:val="es-CO" w:eastAsia="en-US"/>
        </w:rPr>
        <w:t xml:space="preserve">Dirección </w:t>
      </w:r>
      <w:r w:rsidR="003051FE" w:rsidRPr="00896570">
        <w:rPr>
          <w:rFonts w:ascii="Arial" w:eastAsiaTheme="minorHAnsi" w:hAnsi="Arial" w:cs="Arial"/>
          <w:color w:val="auto"/>
          <w:szCs w:val="22"/>
          <w:lang w:val="es-CO" w:eastAsia="en-US"/>
        </w:rPr>
        <w:t>Territorial</w:t>
      </w:r>
      <w:r w:rsidR="00CD149E">
        <w:rPr>
          <w:rFonts w:ascii="Arial" w:eastAsiaTheme="minorHAnsi" w:hAnsi="Arial" w:cs="Arial"/>
          <w:color w:val="auto"/>
          <w:szCs w:val="22"/>
          <w:lang w:val="es-CO" w:eastAsia="en-US"/>
        </w:rPr>
        <w:t>.</w:t>
      </w:r>
    </w:p>
    <w:p w14:paraId="5E537BD3" w14:textId="77777777" w:rsidR="00F94D9A" w:rsidRDefault="00F94D9A" w:rsidP="005463FE">
      <w:pPr>
        <w:spacing w:after="0" w:line="240" w:lineRule="auto"/>
        <w:jc w:val="both"/>
        <w:rPr>
          <w:rFonts w:ascii="Arial" w:hAnsi="Arial" w:cs="Arial"/>
        </w:rPr>
      </w:pPr>
    </w:p>
    <w:p w14:paraId="0C43897F" w14:textId="77777777" w:rsidR="00927EF8" w:rsidRPr="00896570" w:rsidRDefault="00927EF8" w:rsidP="005463FE">
      <w:pPr>
        <w:pStyle w:val="Prrafodelista"/>
        <w:numPr>
          <w:ilvl w:val="0"/>
          <w:numId w:val="11"/>
        </w:numPr>
        <w:spacing w:after="0" w:line="240" w:lineRule="auto"/>
        <w:jc w:val="both"/>
        <w:rPr>
          <w:rFonts w:ascii="Arial" w:hAnsi="Arial" w:cs="Arial"/>
        </w:rPr>
      </w:pPr>
      <w:r w:rsidRPr="00896570">
        <w:rPr>
          <w:rFonts w:ascii="Arial" w:hAnsi="Arial" w:cs="Arial"/>
        </w:rPr>
        <w:t>Documentos asociados</w:t>
      </w:r>
    </w:p>
    <w:p w14:paraId="15FE9718" w14:textId="77777777" w:rsidR="001467E0" w:rsidRPr="00896570" w:rsidRDefault="001467E0" w:rsidP="005463FE">
      <w:pPr>
        <w:spacing w:after="0" w:line="240" w:lineRule="auto"/>
        <w:jc w:val="both"/>
        <w:rPr>
          <w:rFonts w:ascii="Arial" w:hAnsi="Arial" w:cs="Arial"/>
          <w:lang w:val="es-MX"/>
        </w:rPr>
      </w:pPr>
    </w:p>
    <w:p w14:paraId="62F731E8" w14:textId="5079C09A" w:rsidR="0026261A" w:rsidRPr="00896570" w:rsidRDefault="001C4F3A" w:rsidP="009919E0">
      <w:pPr>
        <w:pStyle w:val="Prrafodelista"/>
        <w:numPr>
          <w:ilvl w:val="0"/>
          <w:numId w:val="21"/>
        </w:numPr>
        <w:ind w:left="426"/>
        <w:jc w:val="both"/>
        <w:rPr>
          <w:rFonts w:ascii="Arial" w:hAnsi="Arial" w:cs="Arial"/>
        </w:rPr>
      </w:pPr>
      <w:bookmarkStart w:id="0" w:name="_GoBack"/>
      <w:bookmarkEnd w:id="0"/>
      <w:r w:rsidRPr="00896570">
        <w:rPr>
          <w:rFonts w:ascii="Arial" w:hAnsi="Arial" w:cs="Arial"/>
        </w:rPr>
        <w:t xml:space="preserve">FOR-PSS-010 Formato </w:t>
      </w:r>
      <w:r w:rsidR="00683DDE">
        <w:rPr>
          <w:rFonts w:ascii="Arial" w:hAnsi="Arial" w:cs="Arial"/>
        </w:rPr>
        <w:t>V</w:t>
      </w:r>
      <w:r w:rsidRPr="00896570">
        <w:rPr>
          <w:rFonts w:ascii="Arial" w:hAnsi="Arial" w:cs="Arial"/>
        </w:rPr>
        <w:t>isita domiciliaria</w:t>
      </w:r>
      <w:r w:rsidR="00CD149E">
        <w:rPr>
          <w:rFonts w:ascii="Arial" w:hAnsi="Arial" w:cs="Arial"/>
        </w:rPr>
        <w:t>.</w:t>
      </w:r>
    </w:p>
    <w:p w14:paraId="40428858" w14:textId="003CA25B" w:rsidR="001C4F3A" w:rsidRPr="00896570" w:rsidRDefault="001C4F3A" w:rsidP="009919E0">
      <w:pPr>
        <w:pStyle w:val="Prrafodelista"/>
        <w:numPr>
          <w:ilvl w:val="0"/>
          <w:numId w:val="21"/>
        </w:numPr>
        <w:ind w:left="426"/>
        <w:jc w:val="both"/>
        <w:rPr>
          <w:rFonts w:ascii="Arial" w:hAnsi="Arial" w:cs="Arial"/>
        </w:rPr>
      </w:pPr>
      <w:r w:rsidRPr="00896570">
        <w:rPr>
          <w:rFonts w:ascii="Arial" w:hAnsi="Arial" w:cs="Arial"/>
        </w:rPr>
        <w:t xml:space="preserve">PTC-PSS-002 Protocolo </w:t>
      </w:r>
      <w:r w:rsidR="00683DDE">
        <w:rPr>
          <w:rFonts w:ascii="Arial" w:hAnsi="Arial" w:cs="Arial"/>
        </w:rPr>
        <w:t>S</w:t>
      </w:r>
      <w:r w:rsidRPr="00896570">
        <w:rPr>
          <w:rFonts w:ascii="Arial" w:hAnsi="Arial" w:cs="Arial"/>
        </w:rPr>
        <w:t>eguimiento al cumplimiento de los criterios vigentes</w:t>
      </w:r>
      <w:r w:rsidR="00683DDE">
        <w:rPr>
          <w:rFonts w:ascii="Arial" w:hAnsi="Arial" w:cs="Arial"/>
        </w:rPr>
        <w:t xml:space="preserve"> en los servicios sociales</w:t>
      </w:r>
      <w:r w:rsidR="00CD149E">
        <w:rPr>
          <w:rFonts w:ascii="Arial" w:hAnsi="Arial" w:cs="Arial"/>
        </w:rPr>
        <w:t>.</w:t>
      </w:r>
    </w:p>
    <w:p w14:paraId="5375637F" w14:textId="3D80786A" w:rsidR="001C4F3A" w:rsidRPr="00896570" w:rsidRDefault="001C4F3A" w:rsidP="009919E0">
      <w:pPr>
        <w:pStyle w:val="Prrafodelista"/>
        <w:numPr>
          <w:ilvl w:val="0"/>
          <w:numId w:val="21"/>
        </w:numPr>
        <w:ind w:left="426"/>
        <w:jc w:val="both"/>
        <w:rPr>
          <w:rFonts w:ascii="Arial" w:hAnsi="Arial" w:cs="Arial"/>
        </w:rPr>
      </w:pPr>
      <w:r w:rsidRPr="00896570">
        <w:rPr>
          <w:rFonts w:ascii="Arial" w:hAnsi="Arial" w:cs="Arial"/>
        </w:rPr>
        <w:t xml:space="preserve">FOR-DS-006 Formato </w:t>
      </w:r>
      <w:r w:rsidR="00FE461E">
        <w:rPr>
          <w:rFonts w:ascii="Arial" w:hAnsi="Arial" w:cs="Arial"/>
        </w:rPr>
        <w:t>F</w:t>
      </w:r>
      <w:r w:rsidRPr="00896570">
        <w:rPr>
          <w:rFonts w:ascii="Arial" w:hAnsi="Arial" w:cs="Arial"/>
        </w:rPr>
        <w:t xml:space="preserve">icha técnica para presentar casos al </w:t>
      </w:r>
      <w:r w:rsidR="00FE461E" w:rsidRPr="00896570">
        <w:rPr>
          <w:rFonts w:ascii="Arial" w:hAnsi="Arial" w:cs="Arial"/>
        </w:rPr>
        <w:t xml:space="preserve">Comité Técnico </w:t>
      </w:r>
      <w:r w:rsidRPr="00896570">
        <w:rPr>
          <w:rFonts w:ascii="Arial" w:hAnsi="Arial" w:cs="Arial"/>
        </w:rPr>
        <w:t xml:space="preserve">para la </w:t>
      </w:r>
      <w:r w:rsidR="00FE461E" w:rsidRPr="00896570">
        <w:rPr>
          <w:rFonts w:ascii="Arial" w:hAnsi="Arial" w:cs="Arial"/>
        </w:rPr>
        <w:t>Excepcionalidad</w:t>
      </w:r>
      <w:r w:rsidR="00CD149E">
        <w:rPr>
          <w:rFonts w:ascii="Arial" w:hAnsi="Arial" w:cs="Arial"/>
        </w:rPr>
        <w:t>.</w:t>
      </w:r>
    </w:p>
    <w:p w14:paraId="5976DC92" w14:textId="6E6EC7BF" w:rsidR="004516AB" w:rsidRPr="00896570" w:rsidRDefault="004516AB" w:rsidP="009919E0">
      <w:pPr>
        <w:pStyle w:val="Prrafodelista"/>
        <w:numPr>
          <w:ilvl w:val="0"/>
          <w:numId w:val="21"/>
        </w:numPr>
        <w:ind w:left="426"/>
        <w:jc w:val="both"/>
        <w:rPr>
          <w:rFonts w:ascii="Arial" w:hAnsi="Arial" w:cs="Arial"/>
        </w:rPr>
      </w:pPr>
      <w:r w:rsidRPr="00896570">
        <w:rPr>
          <w:rFonts w:ascii="Arial" w:hAnsi="Arial" w:cs="Arial"/>
        </w:rPr>
        <w:t>FOR-GAD-001 Formato carta</w:t>
      </w:r>
      <w:r w:rsidR="00CD149E">
        <w:rPr>
          <w:rFonts w:ascii="Arial" w:hAnsi="Arial" w:cs="Arial"/>
        </w:rPr>
        <w:t>.</w:t>
      </w:r>
    </w:p>
    <w:p w14:paraId="41FA07D8" w14:textId="77777777" w:rsidR="00FE461E" w:rsidRDefault="00FE461E" w:rsidP="00FE461E">
      <w:pPr>
        <w:pStyle w:val="Prrafodelista"/>
        <w:spacing w:after="0" w:line="240" w:lineRule="auto"/>
        <w:ind w:left="360"/>
        <w:jc w:val="both"/>
        <w:rPr>
          <w:rFonts w:ascii="Arial" w:hAnsi="Arial" w:cs="Arial"/>
        </w:rPr>
      </w:pPr>
    </w:p>
    <w:p w14:paraId="440F55EA" w14:textId="77777777" w:rsidR="00D203E5" w:rsidRPr="00896570" w:rsidRDefault="00D203E5" w:rsidP="005463FE">
      <w:pPr>
        <w:pStyle w:val="Prrafodelista"/>
        <w:numPr>
          <w:ilvl w:val="0"/>
          <w:numId w:val="11"/>
        </w:numPr>
        <w:spacing w:after="0" w:line="240" w:lineRule="auto"/>
        <w:jc w:val="both"/>
        <w:rPr>
          <w:rFonts w:ascii="Arial" w:hAnsi="Arial" w:cs="Arial"/>
        </w:rPr>
      </w:pPr>
      <w:r w:rsidRPr="00896570">
        <w:rPr>
          <w:rFonts w:ascii="Arial" w:hAnsi="Arial" w:cs="Arial"/>
        </w:rPr>
        <w:t>Aprobación del documento</w:t>
      </w:r>
    </w:p>
    <w:p w14:paraId="46106A83" w14:textId="77777777" w:rsidR="001E2CD6" w:rsidRPr="001E2CD6" w:rsidRDefault="001E2CD6" w:rsidP="005463FE">
      <w:pPr>
        <w:spacing w:after="0" w:line="240" w:lineRule="auto"/>
        <w:jc w:val="both"/>
        <w:rPr>
          <w:rFonts w:ascii="Arial" w:hAnsi="Arial" w:cs="Arial"/>
          <w:i/>
          <w:color w:val="4472C4" w:themeColor="accent5"/>
          <w:lang w:val="es-MX"/>
        </w:rPr>
      </w:pPr>
    </w:p>
    <w:tbl>
      <w:tblPr>
        <w:tblStyle w:val="Tablaconcuadrcula"/>
        <w:tblW w:w="0" w:type="auto"/>
        <w:jc w:val="center"/>
        <w:tblLook w:val="04A0" w:firstRow="1" w:lastRow="0" w:firstColumn="1" w:lastColumn="0" w:noHBand="0" w:noVBand="1"/>
      </w:tblPr>
      <w:tblGrid>
        <w:gridCol w:w="988"/>
        <w:gridCol w:w="3118"/>
        <w:gridCol w:w="2552"/>
        <w:gridCol w:w="2175"/>
      </w:tblGrid>
      <w:tr w:rsidR="0079125C" w:rsidRPr="0053594E" w14:paraId="4DB85767" w14:textId="77777777" w:rsidTr="00DB216E">
        <w:trPr>
          <w:trHeight w:val="294"/>
          <w:jc w:val="center"/>
        </w:trPr>
        <w:tc>
          <w:tcPr>
            <w:tcW w:w="988" w:type="dxa"/>
            <w:tcBorders>
              <w:top w:val="nil"/>
              <w:left w:val="nil"/>
              <w:bottom w:val="single" w:sz="4" w:space="0" w:color="auto"/>
              <w:right w:val="single" w:sz="4" w:space="0" w:color="auto"/>
            </w:tcBorders>
            <w:vAlign w:val="center"/>
          </w:tcPr>
          <w:p w14:paraId="7ED2F7F5" w14:textId="77777777" w:rsidR="0079125C" w:rsidRPr="0053594E" w:rsidRDefault="0079125C" w:rsidP="005463FE">
            <w:pPr>
              <w:jc w:val="both"/>
              <w:rPr>
                <w:rFonts w:ascii="Arial" w:hAnsi="Arial" w:cs="Arial"/>
                <w:sz w:val="16"/>
              </w:rPr>
            </w:pPr>
          </w:p>
        </w:tc>
        <w:tc>
          <w:tcPr>
            <w:tcW w:w="3118" w:type="dxa"/>
            <w:tcBorders>
              <w:left w:val="single" w:sz="4" w:space="0" w:color="auto"/>
            </w:tcBorders>
            <w:vAlign w:val="center"/>
          </w:tcPr>
          <w:p w14:paraId="7E7F6012" w14:textId="77777777" w:rsidR="0079125C" w:rsidRPr="0053594E" w:rsidRDefault="0079125C" w:rsidP="00683DDE">
            <w:pPr>
              <w:jc w:val="center"/>
              <w:rPr>
                <w:rFonts w:ascii="Arial" w:hAnsi="Arial" w:cs="Arial"/>
                <w:sz w:val="16"/>
              </w:rPr>
            </w:pPr>
            <w:r w:rsidRPr="0053594E">
              <w:rPr>
                <w:rFonts w:ascii="Arial" w:hAnsi="Arial" w:cs="Arial"/>
                <w:sz w:val="16"/>
              </w:rPr>
              <w:t>Elaboró</w:t>
            </w:r>
          </w:p>
        </w:tc>
        <w:tc>
          <w:tcPr>
            <w:tcW w:w="2552" w:type="dxa"/>
            <w:vAlign w:val="center"/>
          </w:tcPr>
          <w:p w14:paraId="77958C4B" w14:textId="77777777" w:rsidR="0079125C" w:rsidRPr="0053594E" w:rsidRDefault="0079125C" w:rsidP="00683DDE">
            <w:pPr>
              <w:jc w:val="center"/>
              <w:rPr>
                <w:rFonts w:ascii="Arial" w:hAnsi="Arial" w:cs="Arial"/>
                <w:sz w:val="16"/>
              </w:rPr>
            </w:pPr>
            <w:r w:rsidRPr="0053594E">
              <w:rPr>
                <w:rFonts w:ascii="Arial" w:hAnsi="Arial" w:cs="Arial"/>
                <w:sz w:val="16"/>
              </w:rPr>
              <w:t>Revisó</w:t>
            </w:r>
          </w:p>
        </w:tc>
        <w:tc>
          <w:tcPr>
            <w:tcW w:w="2175" w:type="dxa"/>
            <w:vAlign w:val="center"/>
          </w:tcPr>
          <w:p w14:paraId="3F341FE5" w14:textId="77777777" w:rsidR="0079125C" w:rsidRPr="0053594E" w:rsidRDefault="0079125C" w:rsidP="00683DDE">
            <w:pPr>
              <w:jc w:val="center"/>
              <w:rPr>
                <w:rFonts w:ascii="Arial" w:hAnsi="Arial" w:cs="Arial"/>
                <w:sz w:val="16"/>
              </w:rPr>
            </w:pPr>
            <w:r w:rsidRPr="0053594E">
              <w:rPr>
                <w:rFonts w:ascii="Arial" w:hAnsi="Arial" w:cs="Arial"/>
                <w:sz w:val="16"/>
              </w:rPr>
              <w:t>Aprobó</w:t>
            </w:r>
          </w:p>
        </w:tc>
      </w:tr>
      <w:tr w:rsidR="0079125C" w:rsidRPr="0053594E" w14:paraId="2AB4C4AB" w14:textId="77777777" w:rsidTr="00DB216E">
        <w:trPr>
          <w:trHeight w:val="745"/>
          <w:jc w:val="center"/>
        </w:trPr>
        <w:tc>
          <w:tcPr>
            <w:tcW w:w="988" w:type="dxa"/>
            <w:tcBorders>
              <w:top w:val="single" w:sz="4" w:space="0" w:color="auto"/>
            </w:tcBorders>
            <w:vAlign w:val="center"/>
          </w:tcPr>
          <w:p w14:paraId="33FDE1A3" w14:textId="77777777" w:rsidR="0079125C" w:rsidRPr="0053594E" w:rsidRDefault="0079125C" w:rsidP="005463FE">
            <w:pPr>
              <w:jc w:val="both"/>
              <w:rPr>
                <w:rFonts w:ascii="Arial" w:hAnsi="Arial" w:cs="Arial"/>
                <w:sz w:val="16"/>
              </w:rPr>
            </w:pPr>
            <w:r w:rsidRPr="0053594E">
              <w:rPr>
                <w:rFonts w:ascii="Arial" w:hAnsi="Arial" w:cs="Arial"/>
                <w:sz w:val="16"/>
              </w:rPr>
              <w:t>Nombre</w:t>
            </w:r>
          </w:p>
        </w:tc>
        <w:tc>
          <w:tcPr>
            <w:tcW w:w="3118" w:type="dxa"/>
            <w:vAlign w:val="center"/>
          </w:tcPr>
          <w:p w14:paraId="505C1FE6" w14:textId="6385BC03" w:rsidR="0079125C" w:rsidRPr="0053594E" w:rsidRDefault="00CA694E" w:rsidP="00683DDE">
            <w:pPr>
              <w:jc w:val="center"/>
              <w:rPr>
                <w:rFonts w:ascii="Arial" w:hAnsi="Arial" w:cs="Arial"/>
                <w:sz w:val="16"/>
              </w:rPr>
            </w:pPr>
            <w:r w:rsidRPr="0053594E">
              <w:rPr>
                <w:rFonts w:ascii="Arial" w:hAnsi="Arial" w:cs="Arial"/>
                <w:sz w:val="16"/>
              </w:rPr>
              <w:t xml:space="preserve">Beatriz Elena Rodríguez </w:t>
            </w:r>
            <w:proofErr w:type="spellStart"/>
            <w:r w:rsidRPr="0053594E">
              <w:rPr>
                <w:rFonts w:ascii="Arial" w:hAnsi="Arial" w:cs="Arial"/>
                <w:sz w:val="16"/>
              </w:rPr>
              <w:t>Villabona</w:t>
            </w:r>
            <w:proofErr w:type="spellEnd"/>
          </w:p>
          <w:p w14:paraId="5AF50B1B" w14:textId="77777777" w:rsidR="00DB216E" w:rsidRDefault="00DB216E" w:rsidP="00683DDE">
            <w:pPr>
              <w:jc w:val="center"/>
              <w:rPr>
                <w:rFonts w:ascii="Arial" w:hAnsi="Arial" w:cs="Arial"/>
                <w:sz w:val="16"/>
              </w:rPr>
            </w:pPr>
          </w:p>
          <w:p w14:paraId="2DC5EE2D" w14:textId="1C8AB807" w:rsidR="00CA694E" w:rsidRPr="0053594E" w:rsidRDefault="00CA694E" w:rsidP="00683DDE">
            <w:pPr>
              <w:jc w:val="center"/>
              <w:rPr>
                <w:rFonts w:ascii="Arial" w:hAnsi="Arial" w:cs="Arial"/>
                <w:i/>
                <w:color w:val="1F4E79" w:themeColor="accent1" w:themeShade="80"/>
                <w:sz w:val="16"/>
              </w:rPr>
            </w:pPr>
            <w:r w:rsidRPr="0053594E">
              <w:rPr>
                <w:rFonts w:ascii="Arial" w:hAnsi="Arial" w:cs="Arial"/>
                <w:sz w:val="16"/>
              </w:rPr>
              <w:t xml:space="preserve">Alicia </w:t>
            </w:r>
            <w:proofErr w:type="spellStart"/>
            <w:r w:rsidRPr="0053594E">
              <w:rPr>
                <w:rFonts w:ascii="Arial" w:hAnsi="Arial" w:cs="Arial"/>
                <w:sz w:val="16"/>
              </w:rPr>
              <w:t>Bustacara</w:t>
            </w:r>
            <w:proofErr w:type="spellEnd"/>
            <w:r w:rsidRPr="0053594E">
              <w:rPr>
                <w:rFonts w:ascii="Arial" w:hAnsi="Arial" w:cs="Arial"/>
                <w:sz w:val="16"/>
              </w:rPr>
              <w:t xml:space="preserve"> Romero</w:t>
            </w:r>
          </w:p>
        </w:tc>
        <w:tc>
          <w:tcPr>
            <w:tcW w:w="2552" w:type="dxa"/>
            <w:vAlign w:val="center"/>
          </w:tcPr>
          <w:p w14:paraId="1D4F0486" w14:textId="0A7ED6B2" w:rsidR="0079125C" w:rsidRPr="0053594E" w:rsidRDefault="00CA694E" w:rsidP="00683DDE">
            <w:pPr>
              <w:jc w:val="center"/>
              <w:rPr>
                <w:rFonts w:ascii="Arial" w:hAnsi="Arial" w:cs="Arial"/>
                <w:sz w:val="16"/>
              </w:rPr>
            </w:pPr>
            <w:r w:rsidRPr="0053594E">
              <w:rPr>
                <w:rFonts w:ascii="Arial" w:hAnsi="Arial" w:cs="Arial"/>
                <w:sz w:val="16"/>
              </w:rPr>
              <w:t>Sandra</w:t>
            </w:r>
            <w:r w:rsidR="00DB216E">
              <w:rPr>
                <w:rFonts w:ascii="Arial" w:hAnsi="Arial" w:cs="Arial"/>
                <w:sz w:val="16"/>
              </w:rPr>
              <w:t xml:space="preserve"> Esperanza</w:t>
            </w:r>
            <w:r w:rsidRPr="0053594E">
              <w:rPr>
                <w:rFonts w:ascii="Arial" w:hAnsi="Arial" w:cs="Arial"/>
                <w:sz w:val="16"/>
              </w:rPr>
              <w:t xml:space="preserve"> </w:t>
            </w:r>
            <w:proofErr w:type="spellStart"/>
            <w:r w:rsidRPr="0053594E">
              <w:rPr>
                <w:rFonts w:ascii="Arial" w:hAnsi="Arial" w:cs="Arial"/>
                <w:sz w:val="16"/>
              </w:rPr>
              <w:t>Avila</w:t>
            </w:r>
            <w:proofErr w:type="spellEnd"/>
            <w:r w:rsidRPr="0053594E">
              <w:rPr>
                <w:rFonts w:ascii="Arial" w:hAnsi="Arial" w:cs="Arial"/>
                <w:sz w:val="16"/>
              </w:rPr>
              <w:t xml:space="preserve"> </w:t>
            </w:r>
            <w:proofErr w:type="spellStart"/>
            <w:r w:rsidRPr="0053594E">
              <w:rPr>
                <w:rFonts w:ascii="Arial" w:hAnsi="Arial" w:cs="Arial"/>
                <w:sz w:val="16"/>
              </w:rPr>
              <w:t>Perez</w:t>
            </w:r>
            <w:proofErr w:type="spellEnd"/>
          </w:p>
        </w:tc>
        <w:tc>
          <w:tcPr>
            <w:tcW w:w="2175" w:type="dxa"/>
            <w:vAlign w:val="center"/>
          </w:tcPr>
          <w:p w14:paraId="7B6D49CA" w14:textId="77777777" w:rsidR="0079125C" w:rsidRPr="0053594E" w:rsidRDefault="007055C6" w:rsidP="00683DDE">
            <w:pPr>
              <w:jc w:val="center"/>
              <w:rPr>
                <w:rFonts w:ascii="Arial" w:hAnsi="Arial" w:cs="Arial"/>
                <w:sz w:val="16"/>
              </w:rPr>
            </w:pPr>
            <w:proofErr w:type="spellStart"/>
            <w:r w:rsidRPr="0053594E">
              <w:rPr>
                <w:rFonts w:ascii="Arial" w:hAnsi="Arial" w:cs="Arial"/>
                <w:sz w:val="16"/>
              </w:rPr>
              <w:t>Jarlin</w:t>
            </w:r>
            <w:proofErr w:type="spellEnd"/>
            <w:r w:rsidR="00BD064F" w:rsidRPr="0053594E">
              <w:rPr>
                <w:rFonts w:ascii="Arial" w:hAnsi="Arial" w:cs="Arial"/>
                <w:sz w:val="16"/>
              </w:rPr>
              <w:t xml:space="preserve"> </w:t>
            </w:r>
            <w:proofErr w:type="spellStart"/>
            <w:r w:rsidRPr="0053594E">
              <w:rPr>
                <w:rFonts w:ascii="Arial" w:hAnsi="Arial" w:cs="Arial"/>
                <w:sz w:val="16"/>
              </w:rPr>
              <w:t>Sulelly</w:t>
            </w:r>
            <w:proofErr w:type="spellEnd"/>
            <w:r w:rsidRPr="0053594E">
              <w:rPr>
                <w:rFonts w:ascii="Arial" w:hAnsi="Arial" w:cs="Arial"/>
                <w:sz w:val="16"/>
              </w:rPr>
              <w:t xml:space="preserve"> Díaz Gómez</w:t>
            </w:r>
          </w:p>
        </w:tc>
      </w:tr>
      <w:tr w:rsidR="0079125C" w:rsidRPr="0053594E" w14:paraId="7873D80B" w14:textId="77777777" w:rsidTr="00DB216E">
        <w:trPr>
          <w:trHeight w:val="1168"/>
          <w:jc w:val="center"/>
        </w:trPr>
        <w:tc>
          <w:tcPr>
            <w:tcW w:w="988" w:type="dxa"/>
            <w:vAlign w:val="center"/>
          </w:tcPr>
          <w:p w14:paraId="73E99861" w14:textId="794093DE" w:rsidR="0079125C" w:rsidRPr="0053594E" w:rsidRDefault="0079125C" w:rsidP="005463FE">
            <w:pPr>
              <w:jc w:val="both"/>
              <w:rPr>
                <w:rFonts w:ascii="Arial" w:hAnsi="Arial" w:cs="Arial"/>
                <w:sz w:val="16"/>
              </w:rPr>
            </w:pPr>
            <w:r w:rsidRPr="0053594E">
              <w:rPr>
                <w:rFonts w:ascii="Arial" w:hAnsi="Arial" w:cs="Arial"/>
                <w:sz w:val="16"/>
              </w:rPr>
              <w:t>Cargo</w:t>
            </w:r>
            <w:r w:rsidR="007C5DFB" w:rsidRPr="0053594E">
              <w:rPr>
                <w:rFonts w:ascii="Arial" w:hAnsi="Arial" w:cs="Arial"/>
                <w:sz w:val="16"/>
              </w:rPr>
              <w:t>/R</w:t>
            </w:r>
            <w:r w:rsidR="006C0390" w:rsidRPr="0053594E">
              <w:rPr>
                <w:rFonts w:ascii="Arial" w:hAnsi="Arial" w:cs="Arial"/>
                <w:sz w:val="16"/>
              </w:rPr>
              <w:t>ol</w:t>
            </w:r>
          </w:p>
        </w:tc>
        <w:tc>
          <w:tcPr>
            <w:tcW w:w="3118" w:type="dxa"/>
            <w:vAlign w:val="center"/>
          </w:tcPr>
          <w:p w14:paraId="4D2015F8" w14:textId="3EFF15D3" w:rsidR="0079125C" w:rsidRPr="0053594E" w:rsidRDefault="0053594E" w:rsidP="00683DDE">
            <w:pPr>
              <w:jc w:val="center"/>
              <w:rPr>
                <w:rFonts w:ascii="Arial" w:hAnsi="Arial" w:cs="Arial"/>
                <w:sz w:val="16"/>
              </w:rPr>
            </w:pPr>
            <w:r w:rsidRPr="0053594E">
              <w:rPr>
                <w:rFonts w:ascii="Arial" w:hAnsi="Arial" w:cs="Arial"/>
                <w:sz w:val="16"/>
              </w:rPr>
              <w:t xml:space="preserve">Profesional - </w:t>
            </w:r>
            <w:r w:rsidR="00CA694E" w:rsidRPr="0053594E">
              <w:rPr>
                <w:rFonts w:ascii="Arial" w:hAnsi="Arial" w:cs="Arial"/>
                <w:sz w:val="16"/>
              </w:rPr>
              <w:t>Gestora</w:t>
            </w:r>
            <w:r w:rsidR="007055C6" w:rsidRPr="0053594E">
              <w:rPr>
                <w:rFonts w:ascii="Arial" w:hAnsi="Arial" w:cs="Arial"/>
                <w:sz w:val="16"/>
              </w:rPr>
              <w:t xml:space="preserve"> SIG</w:t>
            </w:r>
            <w:r w:rsidR="00CA694E" w:rsidRPr="0053594E">
              <w:rPr>
                <w:rFonts w:ascii="Arial" w:hAnsi="Arial" w:cs="Arial"/>
                <w:sz w:val="16"/>
              </w:rPr>
              <w:t xml:space="preserve"> Subdirección de Identificación, Caracterización e Integración</w:t>
            </w:r>
          </w:p>
          <w:p w14:paraId="05B7E148" w14:textId="77777777" w:rsidR="00DB216E" w:rsidRDefault="00DB216E" w:rsidP="00683DDE">
            <w:pPr>
              <w:jc w:val="center"/>
              <w:rPr>
                <w:rFonts w:ascii="Arial" w:hAnsi="Arial" w:cs="Arial"/>
                <w:sz w:val="16"/>
              </w:rPr>
            </w:pPr>
          </w:p>
          <w:p w14:paraId="6387AD48" w14:textId="50EE3DC1" w:rsidR="00CA694E" w:rsidRPr="0053594E" w:rsidRDefault="0053594E" w:rsidP="00683DDE">
            <w:pPr>
              <w:jc w:val="center"/>
              <w:rPr>
                <w:rFonts w:ascii="Arial" w:hAnsi="Arial" w:cs="Arial"/>
                <w:sz w:val="16"/>
              </w:rPr>
            </w:pPr>
            <w:r w:rsidRPr="0053594E">
              <w:rPr>
                <w:rFonts w:ascii="Arial" w:hAnsi="Arial" w:cs="Arial"/>
                <w:sz w:val="16"/>
              </w:rPr>
              <w:t xml:space="preserve">Contratista - </w:t>
            </w:r>
            <w:r w:rsidR="00CA694E" w:rsidRPr="0053594E">
              <w:rPr>
                <w:rFonts w:ascii="Arial" w:hAnsi="Arial" w:cs="Arial"/>
                <w:sz w:val="16"/>
              </w:rPr>
              <w:t>Gestora SIG Subdirección de Gestión Integral Local</w:t>
            </w:r>
          </w:p>
        </w:tc>
        <w:tc>
          <w:tcPr>
            <w:tcW w:w="2552" w:type="dxa"/>
            <w:vAlign w:val="center"/>
          </w:tcPr>
          <w:p w14:paraId="670FA0A9" w14:textId="5EC400B5" w:rsidR="0079125C" w:rsidRPr="0053594E" w:rsidRDefault="0053594E" w:rsidP="00683DDE">
            <w:pPr>
              <w:jc w:val="center"/>
              <w:rPr>
                <w:rFonts w:ascii="Arial" w:hAnsi="Arial" w:cs="Arial"/>
                <w:sz w:val="16"/>
              </w:rPr>
            </w:pPr>
            <w:r w:rsidRPr="0053594E">
              <w:rPr>
                <w:rFonts w:ascii="Arial" w:hAnsi="Arial" w:cs="Arial"/>
                <w:sz w:val="16"/>
              </w:rPr>
              <w:t xml:space="preserve">Contratista - </w:t>
            </w:r>
            <w:r w:rsidR="00CA694E" w:rsidRPr="0053594E">
              <w:rPr>
                <w:rFonts w:ascii="Arial" w:hAnsi="Arial" w:cs="Arial"/>
                <w:sz w:val="16"/>
              </w:rPr>
              <w:t>Gestora Prestación de Servicios Sociales para la Inclusión Social</w:t>
            </w:r>
          </w:p>
        </w:tc>
        <w:tc>
          <w:tcPr>
            <w:tcW w:w="2175" w:type="dxa"/>
            <w:vAlign w:val="center"/>
          </w:tcPr>
          <w:p w14:paraId="5D9356BF" w14:textId="77777777" w:rsidR="0079125C" w:rsidRPr="0053594E" w:rsidRDefault="007055C6" w:rsidP="00683DDE">
            <w:pPr>
              <w:jc w:val="center"/>
              <w:rPr>
                <w:rFonts w:ascii="Arial" w:hAnsi="Arial" w:cs="Arial"/>
                <w:sz w:val="16"/>
              </w:rPr>
            </w:pPr>
            <w:r w:rsidRPr="0053594E">
              <w:rPr>
                <w:rFonts w:ascii="Arial" w:hAnsi="Arial" w:cs="Arial"/>
                <w:sz w:val="16"/>
              </w:rPr>
              <w:t>Directora Territorial</w:t>
            </w:r>
          </w:p>
        </w:tc>
      </w:tr>
    </w:tbl>
    <w:p w14:paraId="491ACB77" w14:textId="62F7AF0C" w:rsidR="005A3ABF" w:rsidRPr="002B5FED" w:rsidRDefault="005A3ABF" w:rsidP="00CD149E">
      <w:pPr>
        <w:spacing w:after="0" w:line="240" w:lineRule="auto"/>
        <w:jc w:val="both"/>
        <w:rPr>
          <w:rFonts w:ascii="Arial" w:hAnsi="Arial" w:cs="Arial"/>
        </w:rPr>
      </w:pPr>
    </w:p>
    <w:sectPr w:rsidR="005A3ABF" w:rsidRPr="002B5FED" w:rsidSect="000D0858">
      <w:headerReference w:type="default" r:id="rId9"/>
      <w:pgSz w:w="12240" w:h="15840" w:code="1"/>
      <w:pgMar w:top="1701" w:right="1134" w:bottom="1134" w:left="1701" w:header="1134"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30205" w16cid:durableId="211B46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BB5B" w14:textId="77777777" w:rsidR="00CC732F" w:rsidRDefault="00CC732F" w:rsidP="00B41D48">
      <w:pPr>
        <w:spacing w:after="0" w:line="240" w:lineRule="auto"/>
      </w:pPr>
      <w:r>
        <w:separator/>
      </w:r>
    </w:p>
  </w:endnote>
  <w:endnote w:type="continuationSeparator" w:id="0">
    <w:p w14:paraId="16EB35AE" w14:textId="77777777" w:rsidR="00CC732F" w:rsidRDefault="00CC732F"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FA80" w14:textId="77777777" w:rsidR="00CC732F" w:rsidRDefault="00CC732F" w:rsidP="00B41D48">
      <w:pPr>
        <w:spacing w:after="0" w:line="240" w:lineRule="auto"/>
      </w:pPr>
      <w:r>
        <w:separator/>
      </w:r>
    </w:p>
  </w:footnote>
  <w:footnote w:type="continuationSeparator" w:id="0">
    <w:p w14:paraId="4AEC8AB1" w14:textId="77777777" w:rsidR="00CC732F" w:rsidRDefault="00CC732F" w:rsidP="00B41D48">
      <w:pPr>
        <w:spacing w:after="0" w:line="240" w:lineRule="auto"/>
      </w:pPr>
      <w:r>
        <w:continuationSeparator/>
      </w:r>
    </w:p>
  </w:footnote>
  <w:footnote w:id="1">
    <w:p w14:paraId="11841264" w14:textId="77777777" w:rsidR="00EA186D" w:rsidRPr="003B3D4C" w:rsidRDefault="00EA186D" w:rsidP="00EA186D">
      <w:pPr>
        <w:pStyle w:val="Textonotapie"/>
        <w:rPr>
          <w:rFonts w:ascii="Arial" w:hAnsi="Arial" w:cs="Arial"/>
          <w:sz w:val="16"/>
          <w:szCs w:val="16"/>
          <w:lang w:val="es-ES_tradnl"/>
        </w:rPr>
      </w:pPr>
      <w:r w:rsidRPr="003B3D4C">
        <w:rPr>
          <w:rStyle w:val="Refdenotaalpie"/>
          <w:rFonts w:ascii="Arial" w:hAnsi="Arial" w:cs="Arial"/>
          <w:sz w:val="16"/>
          <w:szCs w:val="16"/>
        </w:rPr>
        <w:footnoteRef/>
      </w:r>
      <w:r w:rsidRPr="003B3D4C">
        <w:rPr>
          <w:rFonts w:ascii="Arial" w:hAnsi="Arial" w:cs="Arial"/>
          <w:sz w:val="16"/>
          <w:szCs w:val="16"/>
          <w:lang w:val="es-ES_tradnl"/>
        </w:rPr>
        <w:t>Ver condiciones generales del procedimiento (capítulo 3)</w:t>
      </w:r>
    </w:p>
  </w:footnote>
  <w:footnote w:id="2">
    <w:p w14:paraId="12C23FA7" w14:textId="77777777" w:rsidR="00D41DE2" w:rsidRPr="003B3D4C" w:rsidRDefault="00D41DE2" w:rsidP="00D41DE2">
      <w:pPr>
        <w:pStyle w:val="Textonotapie"/>
        <w:jc w:val="both"/>
        <w:rPr>
          <w:rFonts w:ascii="Arial" w:hAnsi="Arial" w:cs="Arial"/>
          <w:sz w:val="16"/>
          <w:szCs w:val="16"/>
          <w:lang w:val="es-MX"/>
        </w:rPr>
      </w:pPr>
      <w:r w:rsidRPr="003B3D4C">
        <w:rPr>
          <w:rStyle w:val="Refdenotaalpie"/>
          <w:rFonts w:ascii="Arial" w:hAnsi="Arial" w:cs="Arial"/>
          <w:sz w:val="16"/>
          <w:szCs w:val="16"/>
        </w:rPr>
        <w:footnoteRef/>
      </w:r>
      <w:r w:rsidRPr="003B3D4C">
        <w:rPr>
          <w:rFonts w:ascii="Arial" w:hAnsi="Arial" w:cs="Arial"/>
          <w:sz w:val="16"/>
          <w:szCs w:val="16"/>
        </w:rPr>
        <w:t xml:space="preserve"> Resolución No. 0885 de 01 Junio 2017 “Por medio de la cual se reglamentan las Instancias del Sistema de Coordinación de la Secretaría Distrital de Integración Social”, Artículo 20. Comité Técnico para la Excepcionalidad. El Comité Técnico para la Excepcionalidad actuará como instancia de decisión de los casos de excepcionalidad en relación con los criterios establecidos para ser beneficiario de los servicios sociales de la Secretaria Distrital de Social, los cuales a juicio de los(as) Directores(as) o Subdirectores(as) de la Entidad deban ser conocidos por el Comité para que se considere la posibilidad de permitir el acceso y/o permanencia de los ciudadanos que se encuentren en circunstancias de índole fáctica que superan los criterios para ser  beneficiario de los servicios. Este Comité Técnico para la Excepcionalidad hace parte del Consejo la Gestión Integral Social - GIS.</w:t>
      </w:r>
    </w:p>
  </w:footnote>
  <w:footnote w:id="3">
    <w:p w14:paraId="41109B6C" w14:textId="77777777" w:rsidR="00D41DE2" w:rsidRPr="003B3D4C" w:rsidRDefault="00D41DE2" w:rsidP="00D41DE2">
      <w:pPr>
        <w:pStyle w:val="Textonotapie"/>
        <w:rPr>
          <w:rFonts w:ascii="Arial" w:hAnsi="Arial" w:cs="Arial"/>
          <w:sz w:val="16"/>
          <w:szCs w:val="16"/>
          <w:lang w:val="es-MX"/>
        </w:rPr>
      </w:pPr>
      <w:r w:rsidRPr="003B3D4C">
        <w:rPr>
          <w:rStyle w:val="Refdenotaalpie"/>
          <w:rFonts w:ascii="Arial" w:hAnsi="Arial" w:cs="Arial"/>
          <w:sz w:val="16"/>
          <w:szCs w:val="16"/>
        </w:rPr>
        <w:footnoteRef/>
      </w:r>
      <w:r w:rsidRPr="003B3D4C">
        <w:rPr>
          <w:rFonts w:ascii="Arial" w:hAnsi="Arial" w:cs="Arial"/>
          <w:sz w:val="16"/>
          <w:szCs w:val="16"/>
          <w:lang w:val="es-MX"/>
        </w:rPr>
        <w:t>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65"/>
      <w:gridCol w:w="2523"/>
    </w:tblGrid>
    <w:tr w:rsidR="000979F8" w:rsidRPr="00DB216E" w14:paraId="159892FE" w14:textId="77777777" w:rsidTr="00947F57">
      <w:trPr>
        <w:cantSplit/>
        <w:trHeight w:val="437"/>
      </w:trPr>
      <w:tc>
        <w:tcPr>
          <w:tcW w:w="2518" w:type="dxa"/>
          <w:vMerge w:val="restart"/>
          <w:tcBorders>
            <w:right w:val="single" w:sz="4" w:space="0" w:color="auto"/>
          </w:tcBorders>
          <w:vAlign w:val="center"/>
        </w:tcPr>
        <w:p w14:paraId="71123EDA" w14:textId="77777777" w:rsidR="00B41D48" w:rsidRPr="00DB216E" w:rsidRDefault="00B41D48" w:rsidP="00B41D48">
          <w:pPr>
            <w:pStyle w:val="Encabezado"/>
            <w:jc w:val="center"/>
            <w:rPr>
              <w:rFonts w:ascii="Arial" w:hAnsi="Arial" w:cs="Arial"/>
              <w:sz w:val="18"/>
              <w:szCs w:val="18"/>
            </w:rPr>
          </w:pPr>
          <w:r w:rsidRPr="00DB216E">
            <w:rPr>
              <w:rFonts w:ascii="Arial" w:hAnsi="Arial" w:cs="Arial"/>
              <w:noProof/>
              <w:sz w:val="18"/>
              <w:szCs w:val="18"/>
              <w:lang w:eastAsia="es-CO"/>
            </w:rPr>
            <w:drawing>
              <wp:inline distT="0" distB="0" distL="0" distR="0" wp14:anchorId="1BF49F89" wp14:editId="1298F88E">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565" w:type="dxa"/>
          <w:vMerge w:val="restart"/>
          <w:tcBorders>
            <w:left w:val="single" w:sz="4" w:space="0" w:color="auto"/>
          </w:tcBorders>
          <w:vAlign w:val="center"/>
        </w:tcPr>
        <w:p w14:paraId="64022735" w14:textId="77777777" w:rsidR="00B41D48" w:rsidRPr="00DB216E" w:rsidRDefault="00AA0B30" w:rsidP="00B41D48">
          <w:pPr>
            <w:pStyle w:val="Encabezado"/>
            <w:jc w:val="center"/>
            <w:rPr>
              <w:rFonts w:ascii="Arial" w:hAnsi="Arial" w:cs="Arial"/>
              <w:bCs/>
              <w:sz w:val="18"/>
              <w:szCs w:val="18"/>
              <w:lang w:val="es-ES_tradnl"/>
            </w:rPr>
          </w:pPr>
          <w:r w:rsidRPr="00DB216E">
            <w:rPr>
              <w:rFonts w:ascii="Arial" w:hAnsi="Arial" w:cs="Arial"/>
              <w:sz w:val="18"/>
              <w:szCs w:val="18"/>
            </w:rPr>
            <w:fldChar w:fldCharType="begin"/>
          </w:r>
          <w:r w:rsidR="00B41D48" w:rsidRPr="00DB216E">
            <w:rPr>
              <w:rFonts w:ascii="Arial" w:hAnsi="Arial" w:cs="Arial"/>
              <w:sz w:val="18"/>
              <w:szCs w:val="18"/>
            </w:rPr>
            <w:instrText xml:space="preserve"> MACROBUTTON  ActDesactEscrituraManual </w:instrText>
          </w:r>
          <w:r w:rsidRPr="00DB216E">
            <w:rPr>
              <w:rFonts w:ascii="Arial" w:hAnsi="Arial" w:cs="Arial"/>
              <w:sz w:val="18"/>
              <w:szCs w:val="18"/>
            </w:rPr>
            <w:fldChar w:fldCharType="end"/>
          </w:r>
          <w:r w:rsidRPr="00DB216E">
            <w:rPr>
              <w:rFonts w:ascii="Arial" w:hAnsi="Arial" w:cs="Arial"/>
              <w:sz w:val="18"/>
              <w:szCs w:val="18"/>
            </w:rPr>
            <w:fldChar w:fldCharType="begin"/>
          </w:r>
          <w:r w:rsidR="00B41D48" w:rsidRPr="00DB216E">
            <w:rPr>
              <w:rFonts w:ascii="Arial" w:hAnsi="Arial" w:cs="Arial"/>
              <w:sz w:val="18"/>
              <w:szCs w:val="18"/>
            </w:rPr>
            <w:instrText xml:space="preserve"> MACROBUTTON  InsertarCampo </w:instrText>
          </w:r>
          <w:r w:rsidRPr="00DB216E">
            <w:rPr>
              <w:rFonts w:ascii="Arial" w:hAnsi="Arial" w:cs="Arial"/>
              <w:sz w:val="18"/>
              <w:szCs w:val="18"/>
            </w:rPr>
            <w:fldChar w:fldCharType="end"/>
          </w:r>
          <w:r w:rsidR="00B41D48" w:rsidRPr="00DB216E">
            <w:rPr>
              <w:rFonts w:ascii="Arial" w:hAnsi="Arial" w:cs="Arial"/>
              <w:sz w:val="18"/>
              <w:szCs w:val="18"/>
            </w:rPr>
            <w:t xml:space="preserve">PROCESO </w:t>
          </w:r>
          <w:r w:rsidR="00EA186D" w:rsidRPr="00DB216E">
            <w:rPr>
              <w:rFonts w:ascii="Arial" w:hAnsi="Arial" w:cs="Arial"/>
              <w:sz w:val="18"/>
              <w:szCs w:val="18"/>
            </w:rPr>
            <w:t>PRESTACIÓN DE SERVICIOS SOCIALES PARA LA INCLUSIÓN SOCIAL</w:t>
          </w:r>
        </w:p>
        <w:p w14:paraId="41A6F964" w14:textId="77777777" w:rsidR="00B41D48" w:rsidRPr="00DB216E" w:rsidRDefault="00B41D48" w:rsidP="00B41D48">
          <w:pPr>
            <w:spacing w:after="0" w:line="240" w:lineRule="auto"/>
            <w:ind w:left="360"/>
            <w:jc w:val="center"/>
            <w:rPr>
              <w:rFonts w:ascii="Arial" w:hAnsi="Arial" w:cs="Arial"/>
              <w:bCs/>
              <w:sz w:val="18"/>
              <w:szCs w:val="18"/>
              <w:lang w:val="es-ES_tradnl"/>
            </w:rPr>
          </w:pPr>
        </w:p>
        <w:p w14:paraId="3DBA42B3" w14:textId="77777777" w:rsidR="00B41D48" w:rsidRPr="00DB216E" w:rsidRDefault="001467E0" w:rsidP="00995494">
          <w:pPr>
            <w:spacing w:after="0" w:line="240" w:lineRule="auto"/>
            <w:jc w:val="center"/>
            <w:rPr>
              <w:rFonts w:ascii="Arial" w:hAnsi="Arial" w:cs="Arial"/>
              <w:sz w:val="18"/>
              <w:szCs w:val="18"/>
            </w:rPr>
          </w:pPr>
          <w:r w:rsidRPr="00DB216E">
            <w:rPr>
              <w:rFonts w:ascii="Arial" w:hAnsi="Arial" w:cs="Arial"/>
              <w:sz w:val="18"/>
              <w:szCs w:val="18"/>
            </w:rPr>
            <w:t>PROCEDIMIENTO</w:t>
          </w:r>
          <w:r w:rsidR="00EA186D" w:rsidRPr="00DB216E">
            <w:rPr>
              <w:rFonts w:ascii="Arial" w:hAnsi="Arial" w:cs="Arial"/>
              <w:sz w:val="18"/>
              <w:szCs w:val="18"/>
            </w:rPr>
            <w:t xml:space="preserve"> DE INGRESO</w:t>
          </w:r>
        </w:p>
      </w:tc>
      <w:tc>
        <w:tcPr>
          <w:tcW w:w="2523" w:type="dxa"/>
          <w:tcBorders>
            <w:left w:val="single" w:sz="4" w:space="0" w:color="auto"/>
          </w:tcBorders>
          <w:vAlign w:val="center"/>
        </w:tcPr>
        <w:p w14:paraId="2D9DB0E9" w14:textId="5EAC3072" w:rsidR="00B41D48" w:rsidRPr="00DB216E" w:rsidRDefault="00B41D48" w:rsidP="00DB216E">
          <w:pPr>
            <w:pStyle w:val="Encabezado"/>
            <w:rPr>
              <w:rFonts w:ascii="Arial" w:hAnsi="Arial" w:cs="Arial"/>
              <w:sz w:val="18"/>
              <w:szCs w:val="18"/>
            </w:rPr>
          </w:pPr>
          <w:r w:rsidRPr="00DB216E">
            <w:rPr>
              <w:rFonts w:ascii="Arial" w:hAnsi="Arial" w:cs="Arial"/>
              <w:sz w:val="18"/>
              <w:szCs w:val="18"/>
            </w:rPr>
            <w:t>Código:</w:t>
          </w:r>
          <w:r w:rsidR="00DB216E">
            <w:rPr>
              <w:rFonts w:ascii="Arial" w:hAnsi="Arial" w:cs="Arial"/>
              <w:sz w:val="18"/>
              <w:szCs w:val="18"/>
            </w:rPr>
            <w:t xml:space="preserve"> </w:t>
          </w:r>
          <w:r w:rsidR="00DB216E" w:rsidRPr="00DB216E">
            <w:rPr>
              <w:rFonts w:ascii="Arial" w:hAnsi="Arial" w:cs="Arial"/>
              <w:sz w:val="18"/>
              <w:szCs w:val="18"/>
            </w:rPr>
            <w:t>PCD-PSS-024</w:t>
          </w:r>
        </w:p>
      </w:tc>
    </w:tr>
    <w:tr w:rsidR="009D33F0" w:rsidRPr="00DB216E" w14:paraId="0D457DFF" w14:textId="77777777" w:rsidTr="00947F57">
      <w:trPr>
        <w:cantSplit/>
        <w:trHeight w:val="454"/>
      </w:trPr>
      <w:tc>
        <w:tcPr>
          <w:tcW w:w="2518" w:type="dxa"/>
          <w:vMerge/>
          <w:tcBorders>
            <w:right w:val="single" w:sz="4" w:space="0" w:color="auto"/>
          </w:tcBorders>
        </w:tcPr>
        <w:p w14:paraId="194BE488" w14:textId="77777777" w:rsidR="009D33F0" w:rsidRPr="00DB216E" w:rsidRDefault="009D33F0" w:rsidP="009D33F0">
          <w:pPr>
            <w:pStyle w:val="Encabezado"/>
            <w:jc w:val="center"/>
            <w:rPr>
              <w:rFonts w:ascii="Arial" w:hAnsi="Arial" w:cs="Arial"/>
              <w:sz w:val="18"/>
              <w:szCs w:val="18"/>
            </w:rPr>
          </w:pPr>
        </w:p>
      </w:tc>
      <w:tc>
        <w:tcPr>
          <w:tcW w:w="4565" w:type="dxa"/>
          <w:vMerge/>
          <w:tcBorders>
            <w:left w:val="single" w:sz="4" w:space="0" w:color="auto"/>
          </w:tcBorders>
        </w:tcPr>
        <w:p w14:paraId="0F8AE91C" w14:textId="77777777" w:rsidR="009D33F0" w:rsidRPr="00DB216E" w:rsidRDefault="009D33F0" w:rsidP="009D33F0">
          <w:pPr>
            <w:pStyle w:val="Encabezado"/>
            <w:jc w:val="center"/>
            <w:rPr>
              <w:rFonts w:ascii="Arial" w:hAnsi="Arial" w:cs="Arial"/>
              <w:sz w:val="18"/>
              <w:szCs w:val="18"/>
            </w:rPr>
          </w:pPr>
        </w:p>
      </w:tc>
      <w:tc>
        <w:tcPr>
          <w:tcW w:w="2523" w:type="dxa"/>
          <w:tcBorders>
            <w:left w:val="single" w:sz="4" w:space="0" w:color="auto"/>
          </w:tcBorders>
          <w:vAlign w:val="center"/>
        </w:tcPr>
        <w:p w14:paraId="5F1D9762" w14:textId="0ECB731D" w:rsidR="009D33F0" w:rsidRPr="00DB216E" w:rsidRDefault="00DB216E" w:rsidP="009D33F0">
          <w:pPr>
            <w:pStyle w:val="Encabezado"/>
            <w:rPr>
              <w:rFonts w:ascii="Arial" w:hAnsi="Arial" w:cs="Arial"/>
              <w:sz w:val="18"/>
              <w:szCs w:val="18"/>
            </w:rPr>
          </w:pPr>
          <w:r>
            <w:rPr>
              <w:rFonts w:ascii="Arial" w:hAnsi="Arial" w:cs="Arial"/>
              <w:sz w:val="18"/>
              <w:szCs w:val="18"/>
            </w:rPr>
            <w:t>Versión: 2</w:t>
          </w:r>
        </w:p>
      </w:tc>
    </w:tr>
    <w:tr w:rsidR="009D33F0" w:rsidRPr="00DB216E" w14:paraId="1443A6C8" w14:textId="77777777" w:rsidTr="00947F57">
      <w:trPr>
        <w:cantSplit/>
        <w:trHeight w:val="454"/>
      </w:trPr>
      <w:tc>
        <w:tcPr>
          <w:tcW w:w="2518" w:type="dxa"/>
          <w:vMerge/>
          <w:tcBorders>
            <w:right w:val="single" w:sz="4" w:space="0" w:color="auto"/>
          </w:tcBorders>
        </w:tcPr>
        <w:p w14:paraId="3DFF489F" w14:textId="77777777" w:rsidR="009D33F0" w:rsidRPr="00DB216E" w:rsidRDefault="009D33F0" w:rsidP="009D33F0">
          <w:pPr>
            <w:pStyle w:val="Encabezado"/>
            <w:jc w:val="center"/>
            <w:rPr>
              <w:rFonts w:ascii="Arial" w:hAnsi="Arial" w:cs="Arial"/>
              <w:sz w:val="18"/>
              <w:szCs w:val="18"/>
            </w:rPr>
          </w:pPr>
        </w:p>
      </w:tc>
      <w:tc>
        <w:tcPr>
          <w:tcW w:w="4565" w:type="dxa"/>
          <w:vMerge/>
          <w:tcBorders>
            <w:left w:val="single" w:sz="4" w:space="0" w:color="auto"/>
          </w:tcBorders>
        </w:tcPr>
        <w:p w14:paraId="0591E351" w14:textId="77777777" w:rsidR="009D33F0" w:rsidRPr="00DB216E" w:rsidRDefault="009D33F0" w:rsidP="009D33F0">
          <w:pPr>
            <w:pStyle w:val="Encabezado"/>
            <w:jc w:val="center"/>
            <w:rPr>
              <w:rFonts w:ascii="Arial" w:hAnsi="Arial" w:cs="Arial"/>
              <w:sz w:val="18"/>
              <w:szCs w:val="18"/>
            </w:rPr>
          </w:pPr>
        </w:p>
      </w:tc>
      <w:tc>
        <w:tcPr>
          <w:tcW w:w="2523" w:type="dxa"/>
          <w:tcBorders>
            <w:left w:val="single" w:sz="4" w:space="0" w:color="auto"/>
          </w:tcBorders>
          <w:vAlign w:val="center"/>
        </w:tcPr>
        <w:p w14:paraId="48CA4EF3" w14:textId="62DF035A" w:rsidR="009D33F0" w:rsidRPr="00DB216E" w:rsidRDefault="009D33F0" w:rsidP="00EA186D">
          <w:pPr>
            <w:pStyle w:val="Encabezado"/>
            <w:rPr>
              <w:rFonts w:ascii="Arial" w:hAnsi="Arial" w:cs="Arial"/>
              <w:sz w:val="18"/>
              <w:szCs w:val="18"/>
            </w:rPr>
          </w:pPr>
          <w:r w:rsidRPr="00DB216E">
            <w:rPr>
              <w:rFonts w:ascii="Arial" w:hAnsi="Arial" w:cs="Arial"/>
              <w:sz w:val="18"/>
              <w:szCs w:val="18"/>
            </w:rPr>
            <w:t xml:space="preserve">Fecha: </w:t>
          </w:r>
          <w:r w:rsidR="00947F57">
            <w:rPr>
              <w:rFonts w:ascii="Arial" w:hAnsi="Arial" w:cs="Arial"/>
              <w:sz w:val="18"/>
              <w:szCs w:val="18"/>
            </w:rPr>
            <w:t>Circular No. 042 – 20/12/2019</w:t>
          </w:r>
        </w:p>
      </w:tc>
    </w:tr>
    <w:tr w:rsidR="000979F8" w:rsidRPr="00DB216E" w14:paraId="6175778B" w14:textId="77777777" w:rsidTr="00947F57">
      <w:trPr>
        <w:cantSplit/>
        <w:trHeight w:val="435"/>
      </w:trPr>
      <w:tc>
        <w:tcPr>
          <w:tcW w:w="2518" w:type="dxa"/>
          <w:vMerge/>
          <w:tcBorders>
            <w:right w:val="single" w:sz="4" w:space="0" w:color="auto"/>
          </w:tcBorders>
        </w:tcPr>
        <w:p w14:paraId="02620CB8" w14:textId="77777777" w:rsidR="00B41D48" w:rsidRPr="00DB216E" w:rsidRDefault="00B41D48" w:rsidP="00B41D48">
          <w:pPr>
            <w:pStyle w:val="Encabezado"/>
            <w:jc w:val="center"/>
            <w:rPr>
              <w:rFonts w:ascii="Arial" w:hAnsi="Arial" w:cs="Arial"/>
              <w:sz w:val="18"/>
              <w:szCs w:val="18"/>
            </w:rPr>
          </w:pPr>
        </w:p>
      </w:tc>
      <w:tc>
        <w:tcPr>
          <w:tcW w:w="4565" w:type="dxa"/>
          <w:vMerge/>
          <w:tcBorders>
            <w:left w:val="single" w:sz="4" w:space="0" w:color="auto"/>
            <w:bottom w:val="single" w:sz="4" w:space="0" w:color="auto"/>
          </w:tcBorders>
        </w:tcPr>
        <w:p w14:paraId="068E9BF4" w14:textId="77777777" w:rsidR="00B41D48" w:rsidRPr="00DB216E" w:rsidRDefault="00B41D48" w:rsidP="00B41D48">
          <w:pPr>
            <w:pStyle w:val="Encabezado"/>
            <w:jc w:val="center"/>
            <w:rPr>
              <w:rFonts w:ascii="Arial" w:hAnsi="Arial" w:cs="Arial"/>
              <w:sz w:val="18"/>
              <w:szCs w:val="18"/>
            </w:rPr>
          </w:pPr>
        </w:p>
      </w:tc>
      <w:tc>
        <w:tcPr>
          <w:tcW w:w="2523" w:type="dxa"/>
          <w:tcBorders>
            <w:left w:val="single" w:sz="4" w:space="0" w:color="auto"/>
            <w:bottom w:val="single" w:sz="4" w:space="0" w:color="auto"/>
          </w:tcBorders>
          <w:vAlign w:val="center"/>
        </w:tcPr>
        <w:p w14:paraId="2801A075" w14:textId="77777777" w:rsidR="00B41D48" w:rsidRPr="00DB216E" w:rsidRDefault="00B41D48" w:rsidP="00B41D48">
          <w:pPr>
            <w:pStyle w:val="Encabezado"/>
            <w:rPr>
              <w:rFonts w:ascii="Arial" w:hAnsi="Arial" w:cs="Arial"/>
              <w:sz w:val="18"/>
              <w:szCs w:val="18"/>
            </w:rPr>
          </w:pPr>
          <w:r w:rsidRPr="00DB216E">
            <w:rPr>
              <w:rFonts w:ascii="Arial" w:hAnsi="Arial" w:cs="Arial"/>
              <w:sz w:val="18"/>
              <w:szCs w:val="18"/>
            </w:rPr>
            <w:t xml:space="preserve">Página: </w:t>
          </w:r>
          <w:r w:rsidR="00AA0B30" w:rsidRPr="00DB216E">
            <w:rPr>
              <w:rFonts w:ascii="Arial" w:hAnsi="Arial" w:cs="Arial"/>
              <w:sz w:val="18"/>
              <w:szCs w:val="18"/>
              <w:lang w:val="es-ES"/>
            </w:rPr>
            <w:fldChar w:fldCharType="begin"/>
          </w:r>
          <w:r w:rsidRPr="00DB216E">
            <w:rPr>
              <w:rFonts w:ascii="Arial" w:hAnsi="Arial" w:cs="Arial"/>
              <w:sz w:val="18"/>
              <w:szCs w:val="18"/>
              <w:lang w:val="es-ES"/>
            </w:rPr>
            <w:instrText xml:space="preserve"> PAGE </w:instrText>
          </w:r>
          <w:r w:rsidR="00AA0B30" w:rsidRPr="00DB216E">
            <w:rPr>
              <w:rFonts w:ascii="Arial" w:hAnsi="Arial" w:cs="Arial"/>
              <w:sz w:val="18"/>
              <w:szCs w:val="18"/>
              <w:lang w:val="es-ES"/>
            </w:rPr>
            <w:fldChar w:fldCharType="separate"/>
          </w:r>
          <w:r w:rsidR="00947F57">
            <w:rPr>
              <w:rFonts w:ascii="Arial" w:hAnsi="Arial" w:cs="Arial"/>
              <w:noProof/>
              <w:sz w:val="18"/>
              <w:szCs w:val="18"/>
              <w:lang w:val="es-ES"/>
            </w:rPr>
            <w:t>2</w:t>
          </w:r>
          <w:r w:rsidR="00AA0B30" w:rsidRPr="00DB216E">
            <w:rPr>
              <w:rFonts w:ascii="Arial" w:hAnsi="Arial" w:cs="Arial"/>
              <w:sz w:val="18"/>
              <w:szCs w:val="18"/>
              <w:lang w:val="es-ES"/>
            </w:rPr>
            <w:fldChar w:fldCharType="end"/>
          </w:r>
          <w:r w:rsidRPr="00DB216E">
            <w:rPr>
              <w:rFonts w:ascii="Arial" w:hAnsi="Arial" w:cs="Arial"/>
              <w:sz w:val="18"/>
              <w:szCs w:val="18"/>
              <w:lang w:val="es-ES"/>
            </w:rPr>
            <w:t xml:space="preserve"> de </w:t>
          </w:r>
          <w:r w:rsidR="00AA0B30" w:rsidRPr="00DB216E">
            <w:rPr>
              <w:rFonts w:ascii="Arial" w:hAnsi="Arial" w:cs="Arial"/>
              <w:sz w:val="18"/>
              <w:szCs w:val="18"/>
              <w:lang w:val="es-ES"/>
            </w:rPr>
            <w:fldChar w:fldCharType="begin"/>
          </w:r>
          <w:r w:rsidRPr="00DB216E">
            <w:rPr>
              <w:rFonts w:ascii="Arial" w:hAnsi="Arial" w:cs="Arial"/>
              <w:sz w:val="18"/>
              <w:szCs w:val="18"/>
              <w:lang w:val="es-ES"/>
            </w:rPr>
            <w:instrText xml:space="preserve"> NUMPAGES  </w:instrText>
          </w:r>
          <w:r w:rsidR="00AA0B30" w:rsidRPr="00DB216E">
            <w:rPr>
              <w:rFonts w:ascii="Arial" w:hAnsi="Arial" w:cs="Arial"/>
              <w:sz w:val="18"/>
              <w:szCs w:val="18"/>
              <w:lang w:val="es-ES"/>
            </w:rPr>
            <w:fldChar w:fldCharType="separate"/>
          </w:r>
          <w:r w:rsidR="00947F57">
            <w:rPr>
              <w:rFonts w:ascii="Arial" w:hAnsi="Arial" w:cs="Arial"/>
              <w:noProof/>
              <w:sz w:val="18"/>
              <w:szCs w:val="18"/>
              <w:lang w:val="es-ES"/>
            </w:rPr>
            <w:t>4</w:t>
          </w:r>
          <w:r w:rsidR="00AA0B30" w:rsidRPr="00DB216E">
            <w:rPr>
              <w:rFonts w:ascii="Arial" w:hAnsi="Arial" w:cs="Arial"/>
              <w:sz w:val="18"/>
              <w:szCs w:val="18"/>
              <w:lang w:val="es-ES"/>
            </w:rPr>
            <w:fldChar w:fldCharType="end"/>
          </w:r>
        </w:p>
      </w:tc>
    </w:tr>
  </w:tbl>
  <w:p w14:paraId="7277F249" w14:textId="77777777" w:rsidR="00B41D48" w:rsidRPr="003B3D4C" w:rsidRDefault="00B41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5B5FFB"/>
    <w:multiLevelType w:val="hybridMultilevel"/>
    <w:tmpl w:val="0F00DC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100C5C13"/>
    <w:multiLevelType w:val="hybridMultilevel"/>
    <w:tmpl w:val="ED5A4E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1101A86"/>
    <w:multiLevelType w:val="hybridMultilevel"/>
    <w:tmpl w:val="78968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1BA24F2"/>
    <w:multiLevelType w:val="multilevel"/>
    <w:tmpl w:val="47B2FB7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4A202C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2592DA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79063F6A"/>
    <w:multiLevelType w:val="multilevel"/>
    <w:tmpl w:val="1360B8C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5"/>
  </w:num>
  <w:num w:numId="3">
    <w:abstractNumId w:val="9"/>
  </w:num>
  <w:num w:numId="4">
    <w:abstractNumId w:val="3"/>
  </w:num>
  <w:num w:numId="5">
    <w:abstractNumId w:val="0"/>
  </w:num>
  <w:num w:numId="6">
    <w:abstractNumId w:val="6"/>
  </w:num>
  <w:num w:numId="7">
    <w:abstractNumId w:val="8"/>
  </w:num>
  <w:num w:numId="8">
    <w:abstractNumId w:val="13"/>
  </w:num>
  <w:num w:numId="9">
    <w:abstractNumId w:val="19"/>
  </w:num>
  <w:num w:numId="10">
    <w:abstractNumId w:val="10"/>
  </w:num>
  <w:num w:numId="11">
    <w:abstractNumId w:val="18"/>
  </w:num>
  <w:num w:numId="12">
    <w:abstractNumId w:val="17"/>
  </w:num>
  <w:num w:numId="13">
    <w:abstractNumId w:val="15"/>
  </w:num>
  <w:num w:numId="14">
    <w:abstractNumId w:val="7"/>
  </w:num>
  <w:num w:numId="15">
    <w:abstractNumId w:val="1"/>
  </w:num>
  <w:num w:numId="16">
    <w:abstractNumId w:val="14"/>
  </w:num>
  <w:num w:numId="17">
    <w:abstractNumId w:val="16"/>
  </w:num>
  <w:num w:numId="18">
    <w:abstractNumId w:val="20"/>
  </w:num>
  <w:num w:numId="19">
    <w:abstractNumId w:val="2"/>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13EFC"/>
    <w:rsid w:val="00020B2B"/>
    <w:rsid w:val="000254F6"/>
    <w:rsid w:val="000462F0"/>
    <w:rsid w:val="00081223"/>
    <w:rsid w:val="0008199F"/>
    <w:rsid w:val="00083558"/>
    <w:rsid w:val="00083609"/>
    <w:rsid w:val="000867D1"/>
    <w:rsid w:val="00086CA2"/>
    <w:rsid w:val="000979F8"/>
    <w:rsid w:val="000A1385"/>
    <w:rsid w:val="000A1F5C"/>
    <w:rsid w:val="000D0858"/>
    <w:rsid w:val="000F36CB"/>
    <w:rsid w:val="000F5DDF"/>
    <w:rsid w:val="00101F75"/>
    <w:rsid w:val="00102E15"/>
    <w:rsid w:val="001043AC"/>
    <w:rsid w:val="00107AD9"/>
    <w:rsid w:val="0011272F"/>
    <w:rsid w:val="0011599B"/>
    <w:rsid w:val="001207C7"/>
    <w:rsid w:val="00127744"/>
    <w:rsid w:val="0013215F"/>
    <w:rsid w:val="0013447C"/>
    <w:rsid w:val="001467E0"/>
    <w:rsid w:val="00146AC1"/>
    <w:rsid w:val="00150BF8"/>
    <w:rsid w:val="001520E7"/>
    <w:rsid w:val="0015435B"/>
    <w:rsid w:val="00155764"/>
    <w:rsid w:val="001602CE"/>
    <w:rsid w:val="00170DDE"/>
    <w:rsid w:val="001727EF"/>
    <w:rsid w:val="001757E6"/>
    <w:rsid w:val="00191C95"/>
    <w:rsid w:val="001A3BB4"/>
    <w:rsid w:val="001C4F3A"/>
    <w:rsid w:val="001C59FA"/>
    <w:rsid w:val="001C73A0"/>
    <w:rsid w:val="001D1BD2"/>
    <w:rsid w:val="001E2CD6"/>
    <w:rsid w:val="001E47F0"/>
    <w:rsid w:val="001E52FF"/>
    <w:rsid w:val="001E78A1"/>
    <w:rsid w:val="002216C2"/>
    <w:rsid w:val="00223AB3"/>
    <w:rsid w:val="002241B9"/>
    <w:rsid w:val="00232F06"/>
    <w:rsid w:val="00235428"/>
    <w:rsid w:val="002369CF"/>
    <w:rsid w:val="002517C5"/>
    <w:rsid w:val="00251F56"/>
    <w:rsid w:val="00254C40"/>
    <w:rsid w:val="00255ABB"/>
    <w:rsid w:val="00255F7C"/>
    <w:rsid w:val="00257BF5"/>
    <w:rsid w:val="00260F52"/>
    <w:rsid w:val="0026261A"/>
    <w:rsid w:val="0026378C"/>
    <w:rsid w:val="0026554F"/>
    <w:rsid w:val="00272E74"/>
    <w:rsid w:val="00273C6B"/>
    <w:rsid w:val="00277DC6"/>
    <w:rsid w:val="002827C6"/>
    <w:rsid w:val="002A3653"/>
    <w:rsid w:val="002A698C"/>
    <w:rsid w:val="002A79DA"/>
    <w:rsid w:val="002B1A30"/>
    <w:rsid w:val="002B335B"/>
    <w:rsid w:val="002B42DF"/>
    <w:rsid w:val="002B5FED"/>
    <w:rsid w:val="002C2CE2"/>
    <w:rsid w:val="002C4C1E"/>
    <w:rsid w:val="002D3DE2"/>
    <w:rsid w:val="002D45E0"/>
    <w:rsid w:val="002E12FA"/>
    <w:rsid w:val="002F05A8"/>
    <w:rsid w:val="002F209A"/>
    <w:rsid w:val="002F72D7"/>
    <w:rsid w:val="0030344E"/>
    <w:rsid w:val="003051FE"/>
    <w:rsid w:val="00313118"/>
    <w:rsid w:val="00313EC9"/>
    <w:rsid w:val="00333FDB"/>
    <w:rsid w:val="00335CDF"/>
    <w:rsid w:val="003429A4"/>
    <w:rsid w:val="00344C74"/>
    <w:rsid w:val="00366988"/>
    <w:rsid w:val="00371E17"/>
    <w:rsid w:val="00375DD6"/>
    <w:rsid w:val="003A068D"/>
    <w:rsid w:val="003A6335"/>
    <w:rsid w:val="003A6DD5"/>
    <w:rsid w:val="003B3D4C"/>
    <w:rsid w:val="003B571E"/>
    <w:rsid w:val="003C0139"/>
    <w:rsid w:val="003C04E5"/>
    <w:rsid w:val="003C11EC"/>
    <w:rsid w:val="003D2B3B"/>
    <w:rsid w:val="003E3660"/>
    <w:rsid w:val="003E633D"/>
    <w:rsid w:val="0040769E"/>
    <w:rsid w:val="0042123B"/>
    <w:rsid w:val="00424EB0"/>
    <w:rsid w:val="00443252"/>
    <w:rsid w:val="004516AB"/>
    <w:rsid w:val="004924EA"/>
    <w:rsid w:val="004A2D1E"/>
    <w:rsid w:val="004A630C"/>
    <w:rsid w:val="004B4C5D"/>
    <w:rsid w:val="004B5C87"/>
    <w:rsid w:val="004D3725"/>
    <w:rsid w:val="004E320C"/>
    <w:rsid w:val="005136FD"/>
    <w:rsid w:val="0053594E"/>
    <w:rsid w:val="00536C9A"/>
    <w:rsid w:val="00542250"/>
    <w:rsid w:val="00543484"/>
    <w:rsid w:val="0054406B"/>
    <w:rsid w:val="005463FE"/>
    <w:rsid w:val="005926E1"/>
    <w:rsid w:val="005A3ABF"/>
    <w:rsid w:val="005B086A"/>
    <w:rsid w:val="005B3E00"/>
    <w:rsid w:val="005B5692"/>
    <w:rsid w:val="005E2836"/>
    <w:rsid w:val="005E38CA"/>
    <w:rsid w:val="00600DF6"/>
    <w:rsid w:val="006011DC"/>
    <w:rsid w:val="00651782"/>
    <w:rsid w:val="006549EA"/>
    <w:rsid w:val="006610B4"/>
    <w:rsid w:val="006666F8"/>
    <w:rsid w:val="00680894"/>
    <w:rsid w:val="006808DB"/>
    <w:rsid w:val="00683DDE"/>
    <w:rsid w:val="0068612D"/>
    <w:rsid w:val="006B35FA"/>
    <w:rsid w:val="006B46F5"/>
    <w:rsid w:val="006C0390"/>
    <w:rsid w:val="006C5E53"/>
    <w:rsid w:val="006D447E"/>
    <w:rsid w:val="006D77AA"/>
    <w:rsid w:val="006E236E"/>
    <w:rsid w:val="006E45B1"/>
    <w:rsid w:val="006E4EC6"/>
    <w:rsid w:val="006E744E"/>
    <w:rsid w:val="006F5E07"/>
    <w:rsid w:val="0070332A"/>
    <w:rsid w:val="007054A8"/>
    <w:rsid w:val="007055C6"/>
    <w:rsid w:val="007066AB"/>
    <w:rsid w:val="00734642"/>
    <w:rsid w:val="007436B1"/>
    <w:rsid w:val="00745548"/>
    <w:rsid w:val="00747B6C"/>
    <w:rsid w:val="0075206C"/>
    <w:rsid w:val="007526C6"/>
    <w:rsid w:val="00755CA8"/>
    <w:rsid w:val="00756F89"/>
    <w:rsid w:val="00763CDF"/>
    <w:rsid w:val="007667A3"/>
    <w:rsid w:val="0078064B"/>
    <w:rsid w:val="0079125C"/>
    <w:rsid w:val="007B06F3"/>
    <w:rsid w:val="007B4BE8"/>
    <w:rsid w:val="007C57EA"/>
    <w:rsid w:val="007C5DFB"/>
    <w:rsid w:val="007C7089"/>
    <w:rsid w:val="007D5028"/>
    <w:rsid w:val="007E5940"/>
    <w:rsid w:val="007E7956"/>
    <w:rsid w:val="007F2E31"/>
    <w:rsid w:val="00813D18"/>
    <w:rsid w:val="008151F2"/>
    <w:rsid w:val="00817A9A"/>
    <w:rsid w:val="008221CE"/>
    <w:rsid w:val="00822692"/>
    <w:rsid w:val="00823B94"/>
    <w:rsid w:val="00833031"/>
    <w:rsid w:val="00841667"/>
    <w:rsid w:val="008473AE"/>
    <w:rsid w:val="00853544"/>
    <w:rsid w:val="00862EA9"/>
    <w:rsid w:val="00863E59"/>
    <w:rsid w:val="00864346"/>
    <w:rsid w:val="008740DC"/>
    <w:rsid w:val="00876251"/>
    <w:rsid w:val="00882A42"/>
    <w:rsid w:val="00884BB1"/>
    <w:rsid w:val="00890C32"/>
    <w:rsid w:val="00891766"/>
    <w:rsid w:val="00896570"/>
    <w:rsid w:val="008B2C43"/>
    <w:rsid w:val="008B7CFA"/>
    <w:rsid w:val="008E4354"/>
    <w:rsid w:val="0090102E"/>
    <w:rsid w:val="0092068A"/>
    <w:rsid w:val="00927EF8"/>
    <w:rsid w:val="009328E6"/>
    <w:rsid w:val="00944D2D"/>
    <w:rsid w:val="00947F57"/>
    <w:rsid w:val="00951B3A"/>
    <w:rsid w:val="00951E9E"/>
    <w:rsid w:val="00954A34"/>
    <w:rsid w:val="0096146B"/>
    <w:rsid w:val="009642A4"/>
    <w:rsid w:val="00964412"/>
    <w:rsid w:val="00967E80"/>
    <w:rsid w:val="009722AC"/>
    <w:rsid w:val="00976076"/>
    <w:rsid w:val="00981119"/>
    <w:rsid w:val="009861F6"/>
    <w:rsid w:val="00987041"/>
    <w:rsid w:val="009919E0"/>
    <w:rsid w:val="00995494"/>
    <w:rsid w:val="009A38CE"/>
    <w:rsid w:val="009B3588"/>
    <w:rsid w:val="009C5A4B"/>
    <w:rsid w:val="009D33F0"/>
    <w:rsid w:val="009E4925"/>
    <w:rsid w:val="009E7A73"/>
    <w:rsid w:val="009F0C53"/>
    <w:rsid w:val="009F50DE"/>
    <w:rsid w:val="00A0203F"/>
    <w:rsid w:val="00A1197C"/>
    <w:rsid w:val="00A17980"/>
    <w:rsid w:val="00A40D2B"/>
    <w:rsid w:val="00A433DE"/>
    <w:rsid w:val="00A57AE2"/>
    <w:rsid w:val="00A632C0"/>
    <w:rsid w:val="00A739F8"/>
    <w:rsid w:val="00A7637B"/>
    <w:rsid w:val="00A941B2"/>
    <w:rsid w:val="00AA0B30"/>
    <w:rsid w:val="00AA15A4"/>
    <w:rsid w:val="00AB7429"/>
    <w:rsid w:val="00AB7666"/>
    <w:rsid w:val="00AD1CB4"/>
    <w:rsid w:val="00AE0C7A"/>
    <w:rsid w:val="00B015A2"/>
    <w:rsid w:val="00B0293E"/>
    <w:rsid w:val="00B07529"/>
    <w:rsid w:val="00B121A9"/>
    <w:rsid w:val="00B20288"/>
    <w:rsid w:val="00B36270"/>
    <w:rsid w:val="00B37E6D"/>
    <w:rsid w:val="00B41D48"/>
    <w:rsid w:val="00B8236C"/>
    <w:rsid w:val="00B90F84"/>
    <w:rsid w:val="00B97E0B"/>
    <w:rsid w:val="00BA0402"/>
    <w:rsid w:val="00BB2C6C"/>
    <w:rsid w:val="00BC20D8"/>
    <w:rsid w:val="00BC2FF3"/>
    <w:rsid w:val="00BC7E53"/>
    <w:rsid w:val="00BD064F"/>
    <w:rsid w:val="00BF0EA5"/>
    <w:rsid w:val="00BF425B"/>
    <w:rsid w:val="00C020A7"/>
    <w:rsid w:val="00C10CA4"/>
    <w:rsid w:val="00C110B4"/>
    <w:rsid w:val="00C133CB"/>
    <w:rsid w:val="00C16085"/>
    <w:rsid w:val="00C246C3"/>
    <w:rsid w:val="00C37AE3"/>
    <w:rsid w:val="00C604E5"/>
    <w:rsid w:val="00C634B0"/>
    <w:rsid w:val="00C939C7"/>
    <w:rsid w:val="00C94468"/>
    <w:rsid w:val="00C96B59"/>
    <w:rsid w:val="00CA694E"/>
    <w:rsid w:val="00CB1310"/>
    <w:rsid w:val="00CB5B81"/>
    <w:rsid w:val="00CB7B68"/>
    <w:rsid w:val="00CC3EE7"/>
    <w:rsid w:val="00CC732F"/>
    <w:rsid w:val="00CD149E"/>
    <w:rsid w:val="00CE2FDB"/>
    <w:rsid w:val="00CF3DBA"/>
    <w:rsid w:val="00D203E5"/>
    <w:rsid w:val="00D34B60"/>
    <w:rsid w:val="00D40B6C"/>
    <w:rsid w:val="00D41DE2"/>
    <w:rsid w:val="00D43CAE"/>
    <w:rsid w:val="00D64113"/>
    <w:rsid w:val="00D74B39"/>
    <w:rsid w:val="00D8264C"/>
    <w:rsid w:val="00D9247E"/>
    <w:rsid w:val="00DA6C14"/>
    <w:rsid w:val="00DA70D1"/>
    <w:rsid w:val="00DB216E"/>
    <w:rsid w:val="00DB5807"/>
    <w:rsid w:val="00DC217D"/>
    <w:rsid w:val="00DC4A57"/>
    <w:rsid w:val="00DC5102"/>
    <w:rsid w:val="00DE0F14"/>
    <w:rsid w:val="00DE2CE6"/>
    <w:rsid w:val="00DE7D5B"/>
    <w:rsid w:val="00E10E0F"/>
    <w:rsid w:val="00E33176"/>
    <w:rsid w:val="00E47390"/>
    <w:rsid w:val="00E52091"/>
    <w:rsid w:val="00E53D7B"/>
    <w:rsid w:val="00E61774"/>
    <w:rsid w:val="00E7567B"/>
    <w:rsid w:val="00E8224B"/>
    <w:rsid w:val="00E931FB"/>
    <w:rsid w:val="00EA186D"/>
    <w:rsid w:val="00EA1BC1"/>
    <w:rsid w:val="00EC26A0"/>
    <w:rsid w:val="00ED145E"/>
    <w:rsid w:val="00EE4C28"/>
    <w:rsid w:val="00EE6C32"/>
    <w:rsid w:val="00EF0B3D"/>
    <w:rsid w:val="00EF6BDF"/>
    <w:rsid w:val="00F20AD5"/>
    <w:rsid w:val="00F2629D"/>
    <w:rsid w:val="00F27D21"/>
    <w:rsid w:val="00F31807"/>
    <w:rsid w:val="00F32E17"/>
    <w:rsid w:val="00F32EE5"/>
    <w:rsid w:val="00F3467B"/>
    <w:rsid w:val="00F43AA0"/>
    <w:rsid w:val="00F66245"/>
    <w:rsid w:val="00F66506"/>
    <w:rsid w:val="00F72EDC"/>
    <w:rsid w:val="00F83BF0"/>
    <w:rsid w:val="00F86948"/>
    <w:rsid w:val="00F9061B"/>
    <w:rsid w:val="00F932FC"/>
    <w:rsid w:val="00F94D9A"/>
    <w:rsid w:val="00F974FD"/>
    <w:rsid w:val="00FA0C90"/>
    <w:rsid w:val="00FA2E80"/>
    <w:rsid w:val="00FC4366"/>
    <w:rsid w:val="00FD1919"/>
    <w:rsid w:val="00FD4A77"/>
    <w:rsid w:val="00FE3196"/>
    <w:rsid w:val="00FE461E"/>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31B1"/>
  <w15:docId w15:val="{A7BB3DD8-E1EB-49A5-9B14-E8BEB131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30"/>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99"/>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51401258">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61818220">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446075735">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FE72-3934-4BBC-8E80-DC04178D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David Andres Moncayo Nastar</cp:lastModifiedBy>
  <cp:revision>8</cp:revision>
  <cp:lastPrinted>2016-10-07T19:00:00Z</cp:lastPrinted>
  <dcterms:created xsi:type="dcterms:W3CDTF">2019-11-05T15:49:00Z</dcterms:created>
  <dcterms:modified xsi:type="dcterms:W3CDTF">2019-12-28T00:52:00Z</dcterms:modified>
</cp:coreProperties>
</file>